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ВИЩИЙ НАВЧАЛЬНИЙ ЗАКЛАД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ІНОЗЕМНОЇ ФІЛОЛОГІЇ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романських мов і зарубіжної літератури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AC6" w:rsidRPr="006F2AC6" w:rsidRDefault="006F2AC6" w:rsidP="006F2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AC6" w:rsidRPr="006F2AC6" w:rsidRDefault="006F2AC6" w:rsidP="006F2A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6F2AC6" w:rsidRPr="006F2AC6" w:rsidRDefault="00F434F8" w:rsidP="006F2A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6F2AC6" w:rsidRPr="006F2AC6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2AC6" w:rsidRPr="006F2AC6">
        <w:rPr>
          <w:rFonts w:ascii="Times New Roman" w:hAnsi="Times New Roman" w:cs="Times New Roman"/>
          <w:sz w:val="28"/>
          <w:szCs w:val="28"/>
        </w:rPr>
        <w:t xml:space="preserve"> факультету іноземної філології</w:t>
      </w:r>
    </w:p>
    <w:p w:rsidR="006F2AC6" w:rsidRPr="006F2AC6" w:rsidRDefault="006F2AC6" w:rsidP="006F2AC6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2A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    ___</w:t>
      </w:r>
      <w:r w:rsidR="00F434F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Голик С.В.</w:t>
      </w:r>
      <w:r w:rsidRPr="006F2A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</w:t>
      </w:r>
    </w:p>
    <w:p w:rsidR="006F2AC6" w:rsidRPr="006F2AC6" w:rsidRDefault="006F2AC6" w:rsidP="006F2AC6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eastAsia="ru-RU"/>
        </w:rPr>
      </w:pPr>
      <w:r w:rsidRPr="006F2AC6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eastAsia="ru-RU"/>
        </w:rPr>
        <w:t xml:space="preserve">                        (підпис)                                                                  (прізвище, ініціали)</w:t>
      </w:r>
    </w:p>
    <w:p w:rsidR="006F2AC6" w:rsidRPr="006F2AC6" w:rsidRDefault="006F2AC6" w:rsidP="006F2AC6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«____» _____________ 202</w:t>
      </w:r>
      <w:r w:rsidR="00F434F8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5</w:t>
      </w:r>
      <w:r w:rsidRPr="006F2AC6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року</w:t>
      </w:r>
    </w:p>
    <w:p w:rsidR="006F2AC6" w:rsidRPr="006F2AC6" w:rsidRDefault="006F2AC6" w:rsidP="006F2AC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F2AC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F2AC6" w:rsidRPr="006F2AC6" w:rsidRDefault="006F2AC6" w:rsidP="006F2A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2AC6" w:rsidRPr="006F2AC6" w:rsidRDefault="006F2AC6" w:rsidP="006F2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>РОБОЧА ПРОГРАМА НАВЧАЛЬНОЇ ДИСЦИПЛІНИ</w:t>
      </w:r>
    </w:p>
    <w:p w:rsidR="006F2AC6" w:rsidRPr="006F2AC6" w:rsidRDefault="006F2AC6" w:rsidP="006F2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 xml:space="preserve">«Історія зарубіжної літератури </w:t>
      </w:r>
    </w:p>
    <w:p w:rsidR="006F2AC6" w:rsidRPr="006F2AC6" w:rsidRDefault="006F2AC6" w:rsidP="006F2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>(антична література, література доби Середньовіччя і Відродження)»</w:t>
      </w:r>
    </w:p>
    <w:p w:rsidR="006F2AC6" w:rsidRPr="006F2AC6" w:rsidRDefault="006F2AC6" w:rsidP="006F2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>для студентів І курсу денної та заочної форми навчання</w:t>
      </w:r>
    </w:p>
    <w:p w:rsidR="006F2AC6" w:rsidRPr="006F2AC6" w:rsidRDefault="006F2AC6" w:rsidP="006F2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C6">
        <w:rPr>
          <w:rFonts w:ascii="Times New Roman" w:hAnsi="Times New Roman" w:cs="Times New Roman"/>
          <w:b/>
          <w:sz w:val="28"/>
          <w:szCs w:val="28"/>
        </w:rPr>
        <w:t>факультету іноземної філології</w:t>
      </w:r>
    </w:p>
    <w:p w:rsidR="006F2AC6" w:rsidRPr="006F2AC6" w:rsidRDefault="006F2AC6" w:rsidP="006F2AC6">
      <w:pPr>
        <w:rPr>
          <w:rFonts w:ascii="Times New Roman" w:hAnsi="Times New Roman" w:cs="Times New Roman"/>
          <w:b/>
          <w:sz w:val="28"/>
          <w:szCs w:val="28"/>
        </w:rPr>
      </w:pPr>
    </w:p>
    <w:p w:rsidR="006F2AC6" w:rsidRPr="006F2AC6" w:rsidRDefault="006F2AC6" w:rsidP="006F2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6F2AC6" w:rsidRPr="006F2AC6" w:rsidTr="000C3E18">
        <w:trPr>
          <w:trHeight w:val="319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0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Рівень вищої освіти</w:t>
            </w:r>
          </w:p>
        </w:tc>
        <w:tc>
          <w:tcPr>
            <w:tcW w:w="4066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0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бакалавр</w:t>
            </w:r>
          </w:p>
        </w:tc>
      </w:tr>
      <w:tr w:rsidR="006F2AC6" w:rsidRPr="006F2AC6" w:rsidTr="000C3E18">
        <w:trPr>
          <w:trHeight w:val="322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3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Галузь знань</w:t>
            </w:r>
          </w:p>
        </w:tc>
        <w:tc>
          <w:tcPr>
            <w:tcW w:w="4066" w:type="dxa"/>
          </w:tcPr>
          <w:p w:rsidR="006F2AC6" w:rsidRPr="00B7579D" w:rsidRDefault="00B7579D" w:rsidP="006F2AC6">
            <w:pPr>
              <w:widowControl w:val="0"/>
              <w:autoSpaceDE w:val="0"/>
              <w:autoSpaceDN w:val="0"/>
              <w:spacing w:after="0" w:line="303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B7579D">
              <w:rPr>
                <w:rFonts w:ascii="Helvetica" w:hAnsi="Helvetica"/>
                <w:shd w:val="clear" w:color="auto" w:fill="FFFFFF"/>
              </w:rPr>
              <w:t>В11.</w:t>
            </w:r>
            <w:r w:rsidR="006F2AC6" w:rsidRPr="00B7579D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 xml:space="preserve"> Гуманітарні науки</w:t>
            </w:r>
          </w:p>
        </w:tc>
      </w:tr>
      <w:tr w:rsidR="006F2AC6" w:rsidRPr="006F2AC6" w:rsidTr="000C3E18">
        <w:trPr>
          <w:trHeight w:val="321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2" w:lineRule="exact"/>
              <w:ind w:right="232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Спеціальність</w:t>
            </w:r>
          </w:p>
        </w:tc>
        <w:tc>
          <w:tcPr>
            <w:tcW w:w="4066" w:type="dxa"/>
          </w:tcPr>
          <w:p w:rsidR="006F2AC6" w:rsidRPr="00B7579D" w:rsidRDefault="00B7579D" w:rsidP="006F2AC6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B7579D">
              <w:rPr>
                <w:rFonts w:ascii="Helvetica" w:hAnsi="Helvetica"/>
                <w:shd w:val="clear" w:color="auto" w:fill="FFFFFF"/>
              </w:rPr>
              <w:t>В11.04</w:t>
            </w:r>
            <w:r w:rsidRPr="00B7579D">
              <w:rPr>
                <w:shd w:val="clear" w:color="auto" w:fill="FFFFFF"/>
              </w:rPr>
              <w:t xml:space="preserve"> </w:t>
            </w:r>
            <w:r w:rsidR="006F2AC6" w:rsidRPr="00B7579D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Філологія. Германські/романські мови та літератури (переклад включно)</w:t>
            </w:r>
          </w:p>
        </w:tc>
      </w:tr>
      <w:tr w:rsidR="006F2AC6" w:rsidRPr="006F2AC6" w:rsidTr="000C3E18">
        <w:trPr>
          <w:trHeight w:val="643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14" w:lineRule="exact"/>
              <w:ind w:right="235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Предметна</w:t>
            </w:r>
            <w:r w:rsidRPr="006F2AC6">
              <w:rPr>
                <w:rFonts w:ascii="Times New Roman" w:eastAsia="PMingLiU" w:hAnsi="Times New Roman" w:cs="Times New Roman"/>
                <w:spacing w:val="-7"/>
                <w:sz w:val="24"/>
                <w:lang w:eastAsia="uk-UA"/>
              </w:rPr>
              <w:t xml:space="preserve"> </w:t>
            </w: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спеціальність</w:t>
            </w: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10" w:lineRule="exact"/>
              <w:ind w:right="231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(Спеціалізація) (</w:t>
            </w:r>
            <w:r w:rsidRPr="006F2AC6">
              <w:rPr>
                <w:rFonts w:ascii="Times New Roman" w:eastAsia="PMingLiU" w:hAnsi="Times New Roman" w:cs="Times New Roman"/>
                <w:i/>
                <w:sz w:val="24"/>
                <w:lang w:eastAsia="uk-UA"/>
              </w:rPr>
              <w:t>за</w:t>
            </w:r>
            <w:r w:rsidRPr="006F2AC6">
              <w:rPr>
                <w:rFonts w:ascii="Times New Roman" w:eastAsia="PMingLiU" w:hAnsi="Times New Roman" w:cs="Times New Roman"/>
                <w:i/>
                <w:spacing w:val="-12"/>
                <w:sz w:val="24"/>
                <w:lang w:eastAsia="uk-UA"/>
              </w:rPr>
              <w:t xml:space="preserve"> </w:t>
            </w:r>
            <w:r w:rsidRPr="006F2AC6">
              <w:rPr>
                <w:rFonts w:ascii="Times New Roman" w:eastAsia="PMingLiU" w:hAnsi="Times New Roman" w:cs="Times New Roman"/>
                <w:i/>
                <w:sz w:val="24"/>
                <w:lang w:eastAsia="uk-UA"/>
              </w:rPr>
              <w:t>наявності</w:t>
            </w: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)</w:t>
            </w:r>
          </w:p>
        </w:tc>
        <w:tc>
          <w:tcPr>
            <w:tcW w:w="4066" w:type="dxa"/>
          </w:tcPr>
          <w:p w:rsidR="006F2AC6" w:rsidRPr="00B7579D" w:rsidRDefault="00B7579D" w:rsidP="006F2AC6">
            <w:pPr>
              <w:widowControl w:val="0"/>
              <w:autoSpaceDE w:val="0"/>
              <w:autoSpaceDN w:val="0"/>
              <w:spacing w:after="0" w:line="318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B7579D">
              <w:rPr>
                <w:rFonts w:ascii="Helvetica" w:hAnsi="Helvetica"/>
                <w:shd w:val="clear" w:color="auto" w:fill="FFFFFF"/>
              </w:rPr>
              <w:t>В11.04</w:t>
            </w:r>
            <w:r>
              <w:rPr>
                <w:shd w:val="clear" w:color="auto" w:fill="FFFFFF"/>
              </w:rPr>
              <w:t xml:space="preserve"> </w:t>
            </w:r>
            <w:r w:rsidR="006F2AC6" w:rsidRPr="00B7579D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Філологія. Германські/романські мови та літератури (переклад включно)</w:t>
            </w:r>
          </w:p>
        </w:tc>
      </w:tr>
      <w:tr w:rsidR="006F2AC6" w:rsidRPr="006F2AC6" w:rsidTr="000C3E18">
        <w:trPr>
          <w:trHeight w:val="321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2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Освітня програма</w:t>
            </w:r>
          </w:p>
        </w:tc>
        <w:tc>
          <w:tcPr>
            <w:tcW w:w="4066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 xml:space="preserve">Англійська/німецька/французька мова і література. </w:t>
            </w: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Переклад</w:t>
            </w:r>
          </w:p>
        </w:tc>
      </w:tr>
      <w:tr w:rsidR="006F2AC6" w:rsidRPr="006F2AC6" w:rsidTr="000C3E18">
        <w:trPr>
          <w:trHeight w:val="645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314" w:lineRule="exact"/>
              <w:ind w:right="234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Статус дисципліни</w:t>
            </w:r>
          </w:p>
        </w:tc>
        <w:tc>
          <w:tcPr>
            <w:tcW w:w="4066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before="2" w:after="0" w:line="305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нормативна</w:t>
            </w:r>
          </w:p>
        </w:tc>
      </w:tr>
      <w:tr w:rsidR="006F2AC6" w:rsidRPr="006F2AC6" w:rsidTr="000C3E18">
        <w:trPr>
          <w:trHeight w:val="318"/>
        </w:trPr>
        <w:tc>
          <w:tcPr>
            <w:tcW w:w="4034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right="233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sz w:val="24"/>
                <w:lang w:eastAsia="uk-UA"/>
              </w:rPr>
              <w:t>Мова навчання</w:t>
            </w:r>
          </w:p>
        </w:tc>
        <w:tc>
          <w:tcPr>
            <w:tcW w:w="4066" w:type="dxa"/>
          </w:tcPr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  <w:r w:rsidRPr="006F2AC6"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  <w:t>українська</w:t>
            </w: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sz w:val="24"/>
                <w:lang w:eastAsia="uk-UA"/>
              </w:rPr>
            </w:pPr>
          </w:p>
          <w:p w:rsidR="006F2AC6" w:rsidRPr="006F2AC6" w:rsidRDefault="006F2AC6" w:rsidP="006F2AC6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uk-UA"/>
              </w:rPr>
              <w:t>Ужгород - 202</w:t>
            </w:r>
            <w:r w:rsidR="00F434F8">
              <w:rPr>
                <w:rFonts w:ascii="Times New Roman" w:eastAsia="PMingLiU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</w:tbl>
    <w:p w:rsidR="006F2AC6" w:rsidRPr="006F2AC6" w:rsidRDefault="006F2AC6" w:rsidP="006F2AC6"/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lastRenderedPageBreak/>
        <w:t>Робоча програма навчальної дисципліни «</w:t>
      </w:r>
      <w:r w:rsidRPr="006F2AC6">
        <w:rPr>
          <w:rFonts w:ascii="Times New Roman" w:hAnsi="Times New Roman"/>
          <w:b/>
          <w:sz w:val="24"/>
          <w:szCs w:val="24"/>
        </w:rPr>
        <w:t>Історія зарубіжної літератури (антична література, література доби Середньовіччя і Відродження)</w:t>
      </w:r>
      <w:r w:rsidRPr="006F2AC6">
        <w:rPr>
          <w:rFonts w:ascii="Times New Roman" w:hAnsi="Times New Roman"/>
          <w:sz w:val="24"/>
          <w:szCs w:val="24"/>
        </w:rPr>
        <w:t xml:space="preserve">» для здобувачів вищої освіти галузі знань </w:t>
      </w:r>
      <w:r w:rsidR="00B7579D">
        <w:rPr>
          <w:rFonts w:ascii="Helvetica" w:hAnsi="Helvetica"/>
          <w:color w:val="5A5A5A"/>
          <w:shd w:val="clear" w:color="auto" w:fill="FFFFFF"/>
        </w:rPr>
        <w:t>В11.</w:t>
      </w:r>
      <w:r w:rsidRPr="006F2AC6">
        <w:rPr>
          <w:rFonts w:ascii="Times New Roman" w:hAnsi="Times New Roman"/>
          <w:b/>
          <w:sz w:val="24"/>
          <w:szCs w:val="24"/>
        </w:rPr>
        <w:t xml:space="preserve"> Гуманітарні науки</w:t>
      </w:r>
      <w:r w:rsidRPr="006F2A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2AC6">
        <w:rPr>
          <w:rFonts w:ascii="Times New Roman" w:hAnsi="Times New Roman"/>
          <w:sz w:val="24"/>
          <w:szCs w:val="24"/>
        </w:rPr>
        <w:t xml:space="preserve">спеціальності </w:t>
      </w:r>
      <w:r w:rsidR="00B7579D">
        <w:rPr>
          <w:rFonts w:ascii="Helvetica" w:hAnsi="Helvetica"/>
          <w:color w:val="5A5A5A"/>
          <w:shd w:val="clear" w:color="auto" w:fill="FFFFFF"/>
        </w:rPr>
        <w:t>В11.04</w:t>
      </w:r>
      <w:r w:rsidRPr="006F2AC6">
        <w:rPr>
          <w:rFonts w:ascii="Times New Roman" w:hAnsi="Times New Roman"/>
          <w:b/>
          <w:sz w:val="24"/>
          <w:szCs w:val="24"/>
        </w:rPr>
        <w:t>Філологія. Германські/романські мови та літератури (переклад включно)</w:t>
      </w:r>
      <w:r w:rsidRPr="006F2A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2AC6">
        <w:rPr>
          <w:rFonts w:ascii="Times New Roman" w:hAnsi="Times New Roman"/>
          <w:sz w:val="24"/>
          <w:szCs w:val="24"/>
        </w:rPr>
        <w:t xml:space="preserve">предметної спеціальності (спеціалізації) (за наявності) </w:t>
      </w:r>
      <w:r w:rsidR="00B7579D">
        <w:rPr>
          <w:rFonts w:ascii="Helvetica" w:hAnsi="Helvetica"/>
          <w:color w:val="5A5A5A"/>
          <w:shd w:val="clear" w:color="auto" w:fill="FFFFFF"/>
        </w:rPr>
        <w:t>В11.04</w:t>
      </w:r>
      <w:r w:rsidR="00B7579D">
        <w:rPr>
          <w:color w:val="5A5A5A"/>
          <w:shd w:val="clear" w:color="auto" w:fill="FFFFFF"/>
        </w:rPr>
        <w:t xml:space="preserve"> </w:t>
      </w:r>
      <w:r w:rsidRPr="006F2AC6">
        <w:rPr>
          <w:rFonts w:ascii="Times New Roman" w:hAnsi="Times New Roman"/>
          <w:b/>
          <w:sz w:val="24"/>
          <w:szCs w:val="24"/>
        </w:rPr>
        <w:t xml:space="preserve">Філологія. Германські/романські мови та літератури (переклад включно) </w:t>
      </w:r>
      <w:r w:rsidRPr="006F2AC6">
        <w:rPr>
          <w:rFonts w:ascii="Times New Roman" w:hAnsi="Times New Roman"/>
          <w:sz w:val="24"/>
          <w:szCs w:val="24"/>
        </w:rPr>
        <w:t xml:space="preserve">освітньої програми </w:t>
      </w:r>
      <w:r w:rsidRPr="006F2AC6">
        <w:rPr>
          <w:rFonts w:ascii="Times New Roman" w:hAnsi="Times New Roman"/>
          <w:b/>
          <w:sz w:val="24"/>
          <w:szCs w:val="24"/>
        </w:rPr>
        <w:t>Англійська/німецька/французька</w:t>
      </w:r>
      <w:r w:rsidR="00B7579D" w:rsidRPr="00B7579D">
        <w:rPr>
          <w:rFonts w:ascii="Times New Roman" w:hAnsi="Times New Roman"/>
          <w:b/>
          <w:sz w:val="24"/>
          <w:szCs w:val="24"/>
          <w:lang w:val="ru-RU"/>
        </w:rPr>
        <w:t>/</w:t>
      </w:r>
      <w:r w:rsidR="00B7579D">
        <w:rPr>
          <w:rFonts w:ascii="Times New Roman" w:hAnsi="Times New Roman"/>
          <w:b/>
          <w:sz w:val="24"/>
          <w:szCs w:val="24"/>
        </w:rPr>
        <w:t>румунська</w:t>
      </w:r>
      <w:r w:rsidRPr="006F2AC6">
        <w:rPr>
          <w:rFonts w:ascii="Times New Roman" w:hAnsi="Times New Roman"/>
          <w:b/>
          <w:sz w:val="24"/>
          <w:szCs w:val="24"/>
        </w:rPr>
        <w:t xml:space="preserve"> мова і література. Переклад.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Розробник</w:t>
      </w:r>
      <w:r w:rsidRPr="006F2AC6">
        <w:rPr>
          <w:rFonts w:ascii="Times New Roman" w:hAnsi="Times New Roman"/>
          <w:sz w:val="24"/>
          <w:szCs w:val="24"/>
        </w:rPr>
        <w:t>:</w:t>
      </w:r>
      <w:r w:rsidRPr="006F2AC6">
        <w:rPr>
          <w:rFonts w:ascii="Times New Roman" w:hAnsi="Times New Roman"/>
          <w:sz w:val="24"/>
          <w:szCs w:val="24"/>
        </w:rPr>
        <w:tab/>
      </w:r>
      <w:r w:rsidR="00F434F8">
        <w:rPr>
          <w:rFonts w:ascii="Times New Roman" w:hAnsi="Times New Roman"/>
          <w:sz w:val="24"/>
          <w:szCs w:val="24"/>
        </w:rPr>
        <w:t>Гаврило І.В</w:t>
      </w:r>
      <w:r w:rsidRPr="006F2AC6">
        <w:rPr>
          <w:rFonts w:ascii="Times New Roman" w:hAnsi="Times New Roman"/>
          <w:sz w:val="24"/>
          <w:szCs w:val="24"/>
        </w:rPr>
        <w:t xml:space="preserve">., старший викладач кафедри романських мов і зарубіжної літератури 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Робочу програму розглянуто та затверджено на засіданні кафедри</w:t>
      </w:r>
      <w:r w:rsidRPr="006F2AC6">
        <w:rPr>
          <w:rFonts w:ascii="Times New Roman" w:hAnsi="Times New Roman"/>
          <w:b/>
          <w:sz w:val="24"/>
          <w:szCs w:val="24"/>
        </w:rPr>
        <w:t xml:space="preserve"> 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F2AC6">
        <w:rPr>
          <w:rFonts w:ascii="Times New Roman" w:hAnsi="Times New Roman"/>
          <w:b/>
          <w:i/>
          <w:sz w:val="24"/>
          <w:szCs w:val="24"/>
        </w:rPr>
        <w:t>романських мов і зарубіжної літератури</w:t>
      </w:r>
    </w:p>
    <w:p w:rsidR="006F2AC6" w:rsidRPr="006F2AC6" w:rsidRDefault="006F2AC6" w:rsidP="006F2AC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протокол № __ від «__» ____</w:t>
      </w:r>
      <w:r w:rsidR="00B7579D">
        <w:rPr>
          <w:rFonts w:ascii="Times New Roman" w:hAnsi="Times New Roman"/>
          <w:sz w:val="24"/>
          <w:szCs w:val="24"/>
          <w:u w:val="single"/>
          <w:lang w:val="en-US"/>
        </w:rPr>
        <w:t>_______</w:t>
      </w:r>
      <w:r w:rsidR="008D6D83">
        <w:rPr>
          <w:rFonts w:ascii="Times New Roman" w:hAnsi="Times New Roman"/>
          <w:sz w:val="24"/>
          <w:szCs w:val="24"/>
        </w:rPr>
        <w:t>___ 202</w:t>
      </w:r>
      <w:r w:rsidR="00F434F8">
        <w:rPr>
          <w:rFonts w:ascii="Times New Roman" w:hAnsi="Times New Roman"/>
          <w:sz w:val="24"/>
          <w:szCs w:val="24"/>
        </w:rPr>
        <w:t>5</w:t>
      </w:r>
      <w:r w:rsidRPr="006F2AC6">
        <w:rPr>
          <w:rFonts w:ascii="Times New Roman" w:hAnsi="Times New Roman"/>
          <w:sz w:val="24"/>
          <w:szCs w:val="24"/>
        </w:rPr>
        <w:t xml:space="preserve"> р.</w:t>
      </w:r>
    </w:p>
    <w:p w:rsidR="006F2AC6" w:rsidRPr="006F2AC6" w:rsidRDefault="006F2AC6" w:rsidP="006F2AC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Завідувач кафедри _______________     Смужаниця Д.І. 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Схвалено науково-методичною комісією факультету іноземної філології</w:t>
      </w:r>
    </w:p>
    <w:p w:rsidR="006F2AC6" w:rsidRPr="006F2AC6" w:rsidRDefault="006F2AC6" w:rsidP="006F2AC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протокол № ___ від «__» _</w:t>
      </w:r>
      <w:r w:rsidR="00B7579D">
        <w:rPr>
          <w:rFonts w:ascii="Times New Roman" w:hAnsi="Times New Roman"/>
          <w:sz w:val="24"/>
          <w:szCs w:val="24"/>
          <w:lang w:val="en-US"/>
        </w:rPr>
        <w:t>____</w:t>
      </w:r>
      <w:r w:rsidR="00B7579D">
        <w:rPr>
          <w:rFonts w:ascii="Times New Roman" w:hAnsi="Times New Roman"/>
          <w:sz w:val="24"/>
          <w:szCs w:val="24"/>
        </w:rPr>
        <w:t xml:space="preserve"> </w:t>
      </w:r>
      <w:r w:rsidR="008D6D83">
        <w:rPr>
          <w:rFonts w:ascii="Times New Roman" w:hAnsi="Times New Roman"/>
          <w:sz w:val="24"/>
          <w:szCs w:val="24"/>
        </w:rPr>
        <w:t>__ 202</w:t>
      </w:r>
      <w:r w:rsidR="00F434F8">
        <w:rPr>
          <w:rFonts w:ascii="Times New Roman" w:hAnsi="Times New Roman"/>
          <w:sz w:val="24"/>
          <w:szCs w:val="24"/>
        </w:rPr>
        <w:t>5</w:t>
      </w:r>
      <w:r w:rsidRPr="006F2AC6">
        <w:rPr>
          <w:rFonts w:ascii="Times New Roman" w:hAnsi="Times New Roman"/>
          <w:sz w:val="24"/>
          <w:szCs w:val="24"/>
        </w:rPr>
        <w:t xml:space="preserve"> р.</w:t>
      </w:r>
    </w:p>
    <w:p w:rsidR="006F2AC6" w:rsidRPr="006F2AC6" w:rsidRDefault="006F2AC6" w:rsidP="006F2AC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2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Голова науково-методичної комісії _____________ </w:t>
      </w:r>
      <w:r w:rsidRPr="006F2A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Синьо В.B.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sym w:font="Symbol" w:char="F0D3"/>
      </w:r>
      <w:r w:rsidR="00094001">
        <w:rPr>
          <w:rFonts w:ascii="Times New Roman" w:hAnsi="Times New Roman"/>
          <w:sz w:val="24"/>
          <w:szCs w:val="24"/>
        </w:rPr>
        <w:t xml:space="preserve"> </w:t>
      </w:r>
      <w:r w:rsidR="00F434F8">
        <w:rPr>
          <w:rFonts w:ascii="Times New Roman" w:hAnsi="Times New Roman"/>
          <w:sz w:val="24"/>
          <w:szCs w:val="24"/>
        </w:rPr>
        <w:t>Гаврило І.В</w:t>
      </w:r>
      <w:r w:rsidR="00094001">
        <w:rPr>
          <w:rFonts w:ascii="Times New Roman" w:hAnsi="Times New Roman"/>
          <w:sz w:val="24"/>
          <w:szCs w:val="24"/>
        </w:rPr>
        <w:t>., 202</w:t>
      </w:r>
      <w:r w:rsidR="00F434F8">
        <w:rPr>
          <w:rFonts w:ascii="Times New Roman" w:hAnsi="Times New Roman"/>
          <w:sz w:val="24"/>
          <w:szCs w:val="24"/>
        </w:rPr>
        <w:t>5</w:t>
      </w:r>
      <w:r w:rsidRPr="006F2AC6">
        <w:rPr>
          <w:rFonts w:ascii="Times New Roman" w:hAnsi="Times New Roman"/>
          <w:sz w:val="24"/>
          <w:szCs w:val="24"/>
        </w:rPr>
        <w:t xml:space="preserve"> р.</w:t>
      </w:r>
    </w:p>
    <w:p w:rsidR="006F2AC6" w:rsidRPr="006F2AC6" w:rsidRDefault="006F2AC6" w:rsidP="006F2AC6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sym w:font="Symbol" w:char="F0D3"/>
      </w:r>
      <w:r w:rsidRPr="006F2AC6">
        <w:rPr>
          <w:rFonts w:ascii="Times New Roman" w:hAnsi="Times New Roman"/>
          <w:sz w:val="24"/>
          <w:szCs w:val="24"/>
        </w:rPr>
        <w:t xml:space="preserve"> ДВНЗ «Ужгородський</w:t>
      </w:r>
      <w:r w:rsidR="00094001">
        <w:rPr>
          <w:rFonts w:ascii="Times New Roman" w:hAnsi="Times New Roman"/>
          <w:sz w:val="24"/>
          <w:szCs w:val="24"/>
        </w:rPr>
        <w:t xml:space="preserve"> національний університет», 202</w:t>
      </w:r>
      <w:r w:rsidR="00F434F8">
        <w:rPr>
          <w:rFonts w:ascii="Times New Roman" w:hAnsi="Times New Roman"/>
          <w:sz w:val="24"/>
          <w:szCs w:val="24"/>
        </w:rPr>
        <w:t>5</w:t>
      </w:r>
      <w:r w:rsidRPr="006F2AC6">
        <w:rPr>
          <w:rFonts w:ascii="Times New Roman" w:hAnsi="Times New Roman"/>
          <w:sz w:val="24"/>
          <w:szCs w:val="24"/>
        </w:rPr>
        <w:t xml:space="preserve"> р.</w:t>
      </w:r>
      <w:r w:rsidRPr="006F2AC6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2AC6">
        <w:rPr>
          <w:rFonts w:ascii="Times New Roman" w:hAnsi="Times New Roman"/>
          <w:b/>
          <w:bCs/>
          <w:sz w:val="24"/>
          <w:szCs w:val="24"/>
        </w:rPr>
        <w:lastRenderedPageBreak/>
        <w:t>1. ОПИС НАВЧАЛЬНОЇ ДИСЦИПЛІНИ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6F2AC6" w:rsidRPr="006F2AC6" w:rsidTr="000C3E18">
        <w:trPr>
          <w:trHeight w:val="725"/>
        </w:trPr>
        <w:tc>
          <w:tcPr>
            <w:tcW w:w="4503" w:type="dxa"/>
            <w:vMerge w:val="restart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b/>
                <w:bCs/>
                <w:sz w:val="24"/>
                <w:szCs w:val="24"/>
              </w:rPr>
              <w:t>Найменування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b/>
                <w:bCs/>
                <w:sz w:val="24"/>
                <w:szCs w:val="24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b/>
                <w:bCs/>
                <w:sz w:val="24"/>
                <w:szCs w:val="24"/>
              </w:rPr>
              <w:t>Розподіл годин за навчальним планом</w:t>
            </w:r>
          </w:p>
        </w:tc>
      </w:tr>
      <w:tr w:rsidR="006F2AC6" w:rsidRPr="006F2AC6" w:rsidTr="000C3E18">
        <w:trPr>
          <w:trHeight w:val="770"/>
        </w:trPr>
        <w:tc>
          <w:tcPr>
            <w:tcW w:w="4503" w:type="dxa"/>
            <w:vMerge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Денна форма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Заочна форма</w:t>
            </w:r>
          </w:p>
          <w:p w:rsidR="006F2AC6" w:rsidRPr="006F2AC6" w:rsidRDefault="006F2AC6" w:rsidP="006F2AC6">
            <w:pPr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навчання</w:t>
            </w:r>
          </w:p>
        </w:tc>
      </w:tr>
      <w:tr w:rsidR="006F2AC6" w:rsidRPr="006F2AC6" w:rsidTr="000C3E18">
        <w:trPr>
          <w:trHeight w:val="632"/>
        </w:trPr>
        <w:tc>
          <w:tcPr>
            <w:tcW w:w="450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6F2AC6">
              <w:rPr>
                <w:sz w:val="24"/>
                <w:szCs w:val="24"/>
              </w:rPr>
              <w:t>Кількість кредитів ЄКТС –</w:t>
            </w:r>
            <w:r w:rsidRPr="006F2AC6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Рік підготовки: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6F2AC6">
              <w:rPr>
                <w:sz w:val="24"/>
                <w:szCs w:val="24"/>
              </w:rPr>
              <w:t>Загальна кількість годин –</w:t>
            </w:r>
            <w:r w:rsidRPr="006F2AC6">
              <w:rPr>
                <w:color w:val="000000" w:themeColor="text1"/>
                <w:sz w:val="24"/>
                <w:szCs w:val="24"/>
                <w:lang w:val="en-US"/>
              </w:rPr>
              <w:t xml:space="preserve"> 90</w:t>
            </w: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1-ий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1-ий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 xml:space="preserve">Кількість модулів – </w:t>
            </w:r>
            <w:r w:rsidR="008F5C3C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Семестр: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 w:val="restart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Тижневих годин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 xml:space="preserve">для </w:t>
            </w:r>
            <w:proofErr w:type="gramStart"/>
            <w:r w:rsidRPr="006F2AC6">
              <w:rPr>
                <w:sz w:val="24"/>
                <w:szCs w:val="24"/>
              </w:rPr>
              <w:t>денної  форми</w:t>
            </w:r>
            <w:proofErr w:type="gramEnd"/>
            <w:r w:rsidRPr="006F2AC6">
              <w:rPr>
                <w:sz w:val="24"/>
                <w:szCs w:val="24"/>
              </w:rPr>
              <w:t xml:space="preserve"> навчання: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F2AC6" w:rsidRPr="00F434F8" w:rsidRDefault="006F2AC6" w:rsidP="006F2AC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 xml:space="preserve">аудиторних – </w:t>
            </w:r>
            <w:r w:rsidRPr="006F2AC6">
              <w:rPr>
                <w:color w:val="000000" w:themeColor="text1"/>
                <w:sz w:val="24"/>
                <w:szCs w:val="24"/>
              </w:rPr>
              <w:t>2</w:t>
            </w:r>
            <w:r w:rsidR="008F5C3C" w:rsidRPr="00F434F8">
              <w:rPr>
                <w:color w:val="000000" w:themeColor="text1"/>
                <w:sz w:val="24"/>
                <w:szCs w:val="24"/>
              </w:rPr>
              <w:t>,4</w:t>
            </w:r>
          </w:p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F2AC6" w:rsidRPr="008F5C3C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6F2AC6">
              <w:rPr>
                <w:sz w:val="24"/>
                <w:szCs w:val="24"/>
              </w:rPr>
              <w:t xml:space="preserve">самостійної роботи </w:t>
            </w:r>
            <w:proofErr w:type="gramStart"/>
            <w:r w:rsidRPr="006F2AC6">
              <w:rPr>
                <w:sz w:val="24"/>
                <w:szCs w:val="24"/>
              </w:rPr>
              <w:t>студента  –</w:t>
            </w:r>
            <w:proofErr w:type="gramEnd"/>
            <w:r w:rsidRPr="006F2AC6">
              <w:rPr>
                <w:sz w:val="24"/>
                <w:szCs w:val="24"/>
              </w:rPr>
              <w:t xml:space="preserve"> 2</w:t>
            </w:r>
            <w:r w:rsidR="00AD1727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1-ий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1-ий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Лекції: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28 год.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  <w:r w:rsidRPr="006F2AC6">
              <w:rPr>
                <w:b/>
                <w:color w:val="000000" w:themeColor="text1"/>
                <w:sz w:val="24"/>
                <w:szCs w:val="24"/>
              </w:rPr>
              <w:t xml:space="preserve"> год.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Практичні (семінарські):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16 год.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 w:val="restart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 xml:space="preserve">Вид підсумкового контролю: </w:t>
            </w:r>
            <w:r w:rsidRPr="006F2AC6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Лабораторні: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-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 w:val="restart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color w:val="000000"/>
                <w:sz w:val="24"/>
                <w:szCs w:val="24"/>
              </w:rPr>
              <w:t>Форма підсумкового контролю:</w:t>
            </w:r>
            <w:r w:rsidRPr="006F2AC6">
              <w:rPr>
                <w:color w:val="000000" w:themeColor="text1"/>
                <w:sz w:val="24"/>
                <w:szCs w:val="24"/>
              </w:rPr>
              <w:t xml:space="preserve"> усний</w:t>
            </w:r>
          </w:p>
        </w:tc>
        <w:tc>
          <w:tcPr>
            <w:tcW w:w="5386" w:type="dxa"/>
            <w:gridSpan w:val="3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Самостійна робота:</w:t>
            </w:r>
          </w:p>
        </w:tc>
      </w:tr>
      <w:tr w:rsidR="006F2AC6" w:rsidRPr="006F2AC6" w:rsidTr="000C3E18">
        <w:trPr>
          <w:trHeight w:val="567"/>
        </w:trPr>
        <w:tc>
          <w:tcPr>
            <w:tcW w:w="4503" w:type="dxa"/>
            <w:vMerge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46 год.</w:t>
            </w:r>
          </w:p>
        </w:tc>
        <w:tc>
          <w:tcPr>
            <w:tcW w:w="2693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color w:val="000000" w:themeColor="text1"/>
                <w:sz w:val="24"/>
                <w:szCs w:val="24"/>
              </w:rPr>
              <w:t>78 год.</w:t>
            </w:r>
          </w:p>
        </w:tc>
      </w:tr>
    </w:tbl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br w:type="page"/>
      </w:r>
    </w:p>
    <w:p w:rsidR="006F2AC6" w:rsidRPr="006F2AC6" w:rsidRDefault="006F2AC6" w:rsidP="006F2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 МЕТА НАВЧАЛЬНОЇ ДИСЦИПЛІНИ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6F2AC6" w:rsidRDefault="006F2AC6" w:rsidP="006F2AC6">
      <w:pPr>
        <w:spacing w:after="0" w:line="240" w:lineRule="auto"/>
        <w:ind w:left="510" w:firstLine="198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 xml:space="preserve">Метою вивчення навчальної дисципліни </w:t>
      </w:r>
      <w:r w:rsidRPr="006F2AC6">
        <w:rPr>
          <w:rFonts w:ascii="Times New Roman" w:hAnsi="Times New Roman"/>
          <w:b/>
          <w:sz w:val="24"/>
          <w:szCs w:val="24"/>
        </w:rPr>
        <w:t>«Історія світової літератури (антична література, література доби Середньовіччя і Відродження)»</w:t>
      </w:r>
      <w:r w:rsidRPr="006F2AC6">
        <w:rPr>
          <w:rFonts w:ascii="Times New Roman" w:hAnsi="Times New Roman"/>
          <w:sz w:val="24"/>
          <w:szCs w:val="24"/>
        </w:rPr>
        <w:t xml:space="preserve"> є:</w:t>
      </w:r>
    </w:p>
    <w:p w:rsidR="006F2AC6" w:rsidRPr="006F2AC6" w:rsidRDefault="006F2AC6" w:rsidP="006F2A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>ознайомити студентів з історичним розвитком світового літературного процесу, з особливостями літературних епох, їх духовними цінностями, із знаковими надбаннями кожної з літератур у всьому розмаїтті літературних жанрів та стилів;</w:t>
      </w:r>
    </w:p>
    <w:p w:rsidR="006F2AC6" w:rsidRPr="006F2AC6" w:rsidRDefault="006F2AC6" w:rsidP="006F2AC6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навчити студентів працювати з джерелами інформації /підручниками та навчально-методичними посібниками, науковими виданнями творів, які запроваджені до шкільної програми/;</w:t>
      </w:r>
    </w:p>
    <w:p w:rsidR="006F2AC6" w:rsidRPr="006F2AC6" w:rsidRDefault="006F2AC6" w:rsidP="006F2AC6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підготувати студентів до розуміння літературних явищ греко-римської античності, пам’яток середньовікового героїчного епосу і видатних творів доби Відродження у контексті світової культури та у взаємозв’язках;</w:t>
      </w:r>
    </w:p>
    <w:p w:rsidR="006F2AC6" w:rsidRPr="006F2AC6" w:rsidRDefault="006F2AC6" w:rsidP="006F2AC6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 xml:space="preserve">сформувати у студентів як майбутніх </w:t>
      </w:r>
      <w:r w:rsidRPr="006F2AC6">
        <w:rPr>
          <w:rFonts w:ascii="Times New Roman" w:hAnsi="Times New Roman"/>
          <w:color w:val="000000" w:themeColor="text1"/>
          <w:sz w:val="24"/>
          <w:szCs w:val="24"/>
          <w:lang w:val="ru-RU"/>
        </w:rPr>
        <w:t>учителів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 іноземної мови та світової літератури уміння застосовувати у педагогічній практиці набуті знання з оптимальною загальноосвітньою, пізнавально-виховною метою.</w:t>
      </w:r>
    </w:p>
    <w:p w:rsidR="006F2AC6" w:rsidRPr="006F2AC6" w:rsidRDefault="006F2AC6" w:rsidP="006F2AC6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Основна мета, поставлена перед студентами</w:t>
      </w:r>
      <w:r w:rsidRPr="006F2AC6">
        <w:rPr>
          <w:rFonts w:ascii="Times New Roman" w:hAnsi="Times New Roman"/>
          <w:sz w:val="24"/>
          <w:szCs w:val="24"/>
        </w:rPr>
        <w:t xml:space="preserve"> –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 розумітися у літературному процесі </w:t>
      </w:r>
      <w:r w:rsidRPr="006F2AC6">
        <w:rPr>
          <w:rFonts w:ascii="Times New Roman" w:hAnsi="Times New Roman"/>
          <w:sz w:val="24"/>
          <w:szCs w:val="24"/>
        </w:rPr>
        <w:t>доби античності, Середніх віків та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2AC6">
        <w:rPr>
          <w:rFonts w:ascii="Times New Roman" w:hAnsi="Times New Roman"/>
          <w:sz w:val="24"/>
          <w:szCs w:val="24"/>
        </w:rPr>
        <w:t>Відродження</w:t>
      </w:r>
      <w:r w:rsidRPr="006F2AC6">
        <w:rPr>
          <w:rFonts w:ascii="Times New Roman" w:hAnsi="Times New Roman"/>
          <w:sz w:val="24"/>
          <w:szCs w:val="24"/>
          <w:lang w:val="ru-RU"/>
        </w:rPr>
        <w:t>, а зокрема бути обізнаними із літературними тенденціями, постатями, творами цього часу. Метою курсу не є зазубрювання студентами імен, дат та текстів, метою є саме розуміння студентами логіки літературного процесу, взаємозв’язку літератури із історією, впливу літератури і впливу на літературу, в якій розкривається найбільше істин часу</w:t>
      </w:r>
      <w:r w:rsidRPr="006F2AC6">
        <w:rPr>
          <w:rFonts w:ascii="Times New Roman" w:hAnsi="Times New Roman"/>
          <w:sz w:val="24"/>
          <w:szCs w:val="24"/>
        </w:rPr>
        <w:t>.</w:t>
      </w:r>
    </w:p>
    <w:p w:rsidR="006F2AC6" w:rsidRPr="006F2AC6" w:rsidRDefault="006F2AC6" w:rsidP="006F2A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Відповідно до освітньої програми,</w:t>
      </w:r>
      <w:r w:rsidRPr="006F2AC6">
        <w:rPr>
          <w:rFonts w:ascii="Times New Roman" w:hAnsi="Times New Roman"/>
          <w:color w:val="000000"/>
          <w:sz w:val="24"/>
          <w:szCs w:val="24"/>
        </w:rPr>
        <w:t xml:space="preserve"> вивчення дисципліни</w:t>
      </w:r>
      <w:r w:rsidRPr="006F2AC6">
        <w:rPr>
          <w:rFonts w:ascii="Times New Roman" w:hAnsi="Times New Roman"/>
          <w:sz w:val="24"/>
          <w:szCs w:val="24"/>
        </w:rPr>
        <w:t xml:space="preserve"> сприяє формуванню у здобувачів вищої освіти таких компетентностей:</w:t>
      </w:r>
    </w:p>
    <w:p w:rsidR="006F2AC6" w:rsidRPr="006F2AC6" w:rsidRDefault="006F2AC6" w:rsidP="006F2A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ЗК-6. Здатність до пошуку, опрацювання та аналізу інформації з різних джерел</w:t>
      </w:r>
    </w:p>
    <w:p w:rsidR="006F2AC6" w:rsidRPr="006F2AC6" w:rsidRDefault="006F2AC6" w:rsidP="006F2A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ЗК-11. Здатність застосовувати знання у практичних ситуаціях.</w:t>
      </w:r>
    </w:p>
    <w:p w:rsidR="006F2AC6" w:rsidRPr="006F2AC6" w:rsidRDefault="006F2AC6" w:rsidP="006F2A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ФК-5.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6F2AC6" w:rsidRPr="006F2AC6" w:rsidRDefault="006F2AC6" w:rsidP="006F2A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ФК-7.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AC6">
        <w:rPr>
          <w:rFonts w:ascii="Times New Roman" w:hAnsi="Times New Roman"/>
          <w:b/>
          <w:color w:val="000000" w:themeColor="text1"/>
          <w:sz w:val="24"/>
          <w:szCs w:val="24"/>
        </w:rPr>
        <w:t>3. ОЧІКУВАНІ РЕЗУЛЬТАТИ НАВЧАННЯ</w:t>
      </w: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373770121"/>
      <w:r w:rsidRPr="006F2AC6">
        <w:rPr>
          <w:rFonts w:ascii="Times New Roman" w:hAnsi="Times New Roman"/>
          <w:sz w:val="24"/>
          <w:szCs w:val="24"/>
        </w:rPr>
        <w:t xml:space="preserve">Відповідно до освітньої програми </w:t>
      </w:r>
      <w:r w:rsidRPr="006F2AC6">
        <w:rPr>
          <w:rFonts w:ascii="Times New Roman" w:hAnsi="Times New Roman"/>
          <w:b/>
          <w:sz w:val="24"/>
          <w:szCs w:val="24"/>
        </w:rPr>
        <w:t xml:space="preserve">«Англійська/німецька/французька мова і література. Переклад», </w:t>
      </w:r>
      <w:r w:rsidRPr="006F2AC6">
        <w:rPr>
          <w:rFonts w:ascii="Times New Roman" w:hAnsi="Times New Roman"/>
          <w:sz w:val="24"/>
          <w:szCs w:val="24"/>
        </w:rPr>
        <w:t>вивчення навчальної дисципліни «</w:t>
      </w:r>
      <w:r w:rsidRPr="006F2AC6">
        <w:rPr>
          <w:rFonts w:ascii="Times New Roman" w:hAnsi="Times New Roman"/>
          <w:b/>
          <w:sz w:val="24"/>
          <w:szCs w:val="24"/>
        </w:rPr>
        <w:t>Історія зарубіжної літератури (антична література, література доби Середньовіччя і Відродження)</w:t>
      </w:r>
      <w:r w:rsidRPr="006F2AC6">
        <w:rPr>
          <w:rFonts w:ascii="Times New Roman" w:hAnsi="Times New Roman"/>
          <w:sz w:val="24"/>
          <w:szCs w:val="24"/>
        </w:rPr>
        <w:t>» повинно забезпечити досягнення здобувачами вищої освіти таких програмних результатів навчання (ПРН)</w:t>
      </w:r>
      <w:r w:rsidRPr="006F2AC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997"/>
        <w:gridCol w:w="1524"/>
      </w:tblGrid>
      <w:tr w:rsidR="006F2AC6" w:rsidRPr="006F2AC6" w:rsidTr="000C3E18">
        <w:tc>
          <w:tcPr>
            <w:tcW w:w="7997" w:type="dxa"/>
            <w:vAlign w:val="center"/>
          </w:tcPr>
          <w:p w:rsidR="006F2AC6" w:rsidRPr="006F2AC6" w:rsidRDefault="006F2AC6" w:rsidP="006F2AC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F2AC6">
              <w:rPr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1524" w:type="dxa"/>
            <w:vAlign w:val="center"/>
          </w:tcPr>
          <w:p w:rsidR="006F2AC6" w:rsidRPr="006F2AC6" w:rsidRDefault="006F2AC6" w:rsidP="006F2AC6">
            <w:pPr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Шифр ПРН</w:t>
            </w:r>
          </w:p>
        </w:tc>
      </w:tr>
      <w:tr w:rsidR="006F2AC6" w:rsidRPr="006F2AC6" w:rsidTr="000C3E18">
        <w:tc>
          <w:tcPr>
            <w:tcW w:w="7997" w:type="dxa"/>
          </w:tcPr>
          <w:p w:rsidR="006F2AC6" w:rsidRPr="006F2AC6" w:rsidRDefault="006F2AC6" w:rsidP="006F2AC6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6F2AC6">
              <w:rPr>
                <w:sz w:val="24"/>
                <w:szCs w:val="24"/>
                <w:lang w:val="uk-UA"/>
              </w:rPr>
              <w:t>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</w:tc>
        <w:tc>
          <w:tcPr>
            <w:tcW w:w="1524" w:type="dxa"/>
          </w:tcPr>
          <w:p w:rsidR="006F2AC6" w:rsidRPr="006F2AC6" w:rsidRDefault="006F2AC6" w:rsidP="006F2AC6">
            <w:pPr>
              <w:jc w:val="both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ПРН 8</w:t>
            </w:r>
          </w:p>
        </w:tc>
      </w:tr>
      <w:tr w:rsidR="006F2AC6" w:rsidRPr="006F2AC6" w:rsidTr="000C3E18">
        <w:tc>
          <w:tcPr>
            <w:tcW w:w="7997" w:type="dxa"/>
          </w:tcPr>
          <w:p w:rsidR="006F2AC6" w:rsidRPr="006F2AC6" w:rsidRDefault="006F2AC6" w:rsidP="006F2AC6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6F2AC6">
              <w:rPr>
                <w:sz w:val="24"/>
                <w:szCs w:val="24"/>
                <w:lang w:val="uk-UA"/>
              </w:rPr>
              <w:t>Аналізувати й інтерпретувати твори української та зарубіжної художньої</w:t>
            </w:r>
            <w:r w:rsidRPr="006F2AC6">
              <w:rPr>
                <w:sz w:val="24"/>
                <w:szCs w:val="24"/>
                <w:lang w:val="uk-UA"/>
              </w:rPr>
              <w:br/>
              <w:t>літератури й усної народної творчості, визначати їхню специфіку й місце в</w:t>
            </w:r>
            <w:r w:rsidRPr="006F2AC6">
              <w:rPr>
                <w:sz w:val="24"/>
                <w:szCs w:val="24"/>
                <w:lang w:val="uk-UA"/>
              </w:rPr>
              <w:br/>
              <w:t>літературному процесі (відповідно до обраної спеціалізації).</w:t>
            </w:r>
          </w:p>
        </w:tc>
        <w:tc>
          <w:tcPr>
            <w:tcW w:w="1524" w:type="dxa"/>
          </w:tcPr>
          <w:p w:rsidR="006F2AC6" w:rsidRPr="006F2AC6" w:rsidRDefault="006F2AC6" w:rsidP="006F2AC6">
            <w:pPr>
              <w:jc w:val="both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ПРН 13</w:t>
            </w:r>
          </w:p>
        </w:tc>
      </w:tr>
    </w:tbl>
    <w:p w:rsidR="006F2AC6" w:rsidRPr="006F2AC6" w:rsidRDefault="006F2AC6" w:rsidP="006F2A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6F2AC6">
        <w:rPr>
          <w:rFonts w:ascii="Times New Roman" w:hAnsi="Times New Roman"/>
          <w:b/>
          <w:sz w:val="24"/>
          <w:szCs w:val="24"/>
        </w:rPr>
        <w:t>Історія зарубіжної літератури (антична література, література доби Середньовіччя і Відродження)</w:t>
      </w:r>
      <w:r w:rsidRPr="006F2AC6">
        <w:rPr>
          <w:rFonts w:ascii="Times New Roman" w:hAnsi="Times New Roman"/>
          <w:sz w:val="24"/>
          <w:szCs w:val="24"/>
        </w:rPr>
        <w:t>»: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998"/>
        <w:gridCol w:w="1523"/>
      </w:tblGrid>
      <w:tr w:rsidR="006F2AC6" w:rsidRPr="006F2AC6" w:rsidTr="000C3E18">
        <w:tc>
          <w:tcPr>
            <w:tcW w:w="7998" w:type="dxa"/>
            <w:vAlign w:val="center"/>
          </w:tcPr>
          <w:p w:rsidR="006F2AC6" w:rsidRPr="006F2AC6" w:rsidRDefault="006F2AC6" w:rsidP="006F2AC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F2AC6">
              <w:rPr>
                <w:b/>
                <w:sz w:val="24"/>
                <w:szCs w:val="24"/>
              </w:rPr>
              <w:t>Очікувані результати навчання з дисципліни</w:t>
            </w:r>
          </w:p>
        </w:tc>
        <w:tc>
          <w:tcPr>
            <w:tcW w:w="1523" w:type="dxa"/>
            <w:vAlign w:val="center"/>
          </w:tcPr>
          <w:p w:rsidR="006F2AC6" w:rsidRPr="006F2AC6" w:rsidRDefault="006F2AC6" w:rsidP="006F2AC6">
            <w:pPr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 xml:space="preserve">Шифр </w:t>
            </w:r>
          </w:p>
        </w:tc>
      </w:tr>
      <w:tr w:rsidR="006F2AC6" w:rsidRPr="006F2AC6" w:rsidTr="000C3E18">
        <w:tc>
          <w:tcPr>
            <w:tcW w:w="7998" w:type="dxa"/>
            <w:shd w:val="clear" w:color="auto" w:fill="auto"/>
          </w:tcPr>
          <w:p w:rsidR="006F2AC6" w:rsidRPr="006F2AC6" w:rsidRDefault="006F2AC6" w:rsidP="006F2AC6">
            <w:pPr>
              <w:tabs>
                <w:tab w:val="left" w:pos="0"/>
              </w:tabs>
              <w:jc w:val="both"/>
              <w:rPr>
                <w:sz w:val="24"/>
                <w:highlight w:val="yellow"/>
                <w:lang w:val="uk-UA"/>
              </w:rPr>
            </w:pPr>
            <w:r w:rsidRPr="006F2AC6">
              <w:rPr>
                <w:sz w:val="24"/>
                <w:lang w:val="uk-UA"/>
              </w:rPr>
              <w:t>Застосовує знання мови та літератури, історію цих дисциплін у професійній діяльності.</w:t>
            </w:r>
          </w:p>
        </w:tc>
        <w:tc>
          <w:tcPr>
            <w:tcW w:w="1523" w:type="dxa"/>
            <w:shd w:val="clear" w:color="auto" w:fill="auto"/>
          </w:tcPr>
          <w:p w:rsidR="006F2AC6" w:rsidRPr="006F2AC6" w:rsidRDefault="006F2AC6" w:rsidP="006F2AC6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6F2AC6">
              <w:rPr>
                <w:sz w:val="24"/>
              </w:rPr>
              <w:t>ПРН 8</w:t>
            </w:r>
          </w:p>
        </w:tc>
      </w:tr>
      <w:tr w:rsidR="006F2AC6" w:rsidRPr="006F2AC6" w:rsidTr="000C3E18">
        <w:tc>
          <w:tcPr>
            <w:tcW w:w="7998" w:type="dxa"/>
            <w:shd w:val="clear" w:color="auto" w:fill="auto"/>
          </w:tcPr>
          <w:p w:rsidR="006F2AC6" w:rsidRPr="006F2AC6" w:rsidRDefault="006F2AC6" w:rsidP="006F2AC6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6F2AC6">
              <w:rPr>
                <w:sz w:val="24"/>
                <w:lang w:val="uk-UA"/>
              </w:rPr>
              <w:lastRenderedPageBreak/>
              <w:t xml:space="preserve">Визначаючи специфіку й місце літературного твору в літературному процесі, вільно аналізує та інтерпретує твори української та зарубіжної художньої літератури й усної народної творчості. </w:t>
            </w:r>
          </w:p>
        </w:tc>
        <w:tc>
          <w:tcPr>
            <w:tcW w:w="1523" w:type="dxa"/>
            <w:shd w:val="clear" w:color="auto" w:fill="auto"/>
          </w:tcPr>
          <w:p w:rsidR="006F2AC6" w:rsidRPr="006F2AC6" w:rsidRDefault="006F2AC6" w:rsidP="006F2AC6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6F2AC6">
              <w:rPr>
                <w:sz w:val="24"/>
              </w:rPr>
              <w:t>ПРН 13</w:t>
            </w:r>
          </w:p>
        </w:tc>
      </w:tr>
    </w:tbl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 xml:space="preserve">4. ЗАСОБИ ДІАГНОСТИКИ ТА </w:t>
      </w:r>
      <w:r w:rsidRPr="006F2A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КРИТЕРІЇ ОЦІНЮВАННЯ </w:t>
      </w: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>РЕЗУЛЬТАТІВ НАВЧАННЯ</w:t>
      </w:r>
    </w:p>
    <w:p w:rsidR="006F2AC6" w:rsidRPr="006F2AC6" w:rsidRDefault="006F2AC6" w:rsidP="006F2AC6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AC6" w:rsidRPr="006F2AC6" w:rsidRDefault="006F2AC6" w:rsidP="00B166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>Засоби оцінювання та методи демонстрування результатів навчання</w:t>
      </w:r>
    </w:p>
    <w:p w:rsidR="006F2AC6" w:rsidRPr="006F2AC6" w:rsidRDefault="006F2AC6" w:rsidP="006F2A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усне опитування, письмові практичні роботи, конспектування науково-критичної літератури, підсумкові контрольні роботи. Все це реалізується через</w:t>
      </w:r>
      <w:r w:rsidRPr="006F2AC6">
        <w:rPr>
          <w:rFonts w:asciiTheme="majorBidi" w:eastAsia="Times New Roman" w:hAnsiTheme="majorBidi" w:cstheme="majorBidi"/>
          <w:sz w:val="24"/>
        </w:rPr>
        <w:t xml:space="preserve"> накопичувальну бально-рейтингову систему, що передбачає оцінювання студентів за всі види аудиторної та позааудиторної навчальної діяльності, спрямовані на опанування навчального навантаження з освітньої програми; поточний контроль, поетапний, модульний, підсумковий контр</w:t>
      </w:r>
      <w:r w:rsidR="00B166EA">
        <w:rPr>
          <w:rFonts w:asciiTheme="majorBidi" w:eastAsia="Times New Roman" w:hAnsiTheme="majorBidi" w:cstheme="majorBidi"/>
          <w:sz w:val="24"/>
        </w:rPr>
        <w:t>оль; усний екзамен</w:t>
      </w:r>
      <w:r w:rsidRPr="006F2AC6">
        <w:rPr>
          <w:rFonts w:asciiTheme="majorBidi" w:eastAsia="Times New Roman" w:hAnsiTheme="majorBidi" w:cstheme="majorBidi"/>
          <w:sz w:val="24"/>
        </w:rPr>
        <w:t>, тестування</w:t>
      </w:r>
      <w:r w:rsidRPr="006F2AC6">
        <w:rPr>
          <w:rFonts w:ascii="Calibri" w:eastAsia="Times New Roman" w:hAnsi="Calibri" w:cs="Times New Roman"/>
          <w:sz w:val="24"/>
        </w:rPr>
        <w:t>.</w:t>
      </w:r>
    </w:p>
    <w:p w:rsidR="006F2AC6" w:rsidRPr="006F2AC6" w:rsidRDefault="006F2AC6" w:rsidP="006F2AC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AC6" w:rsidRPr="006F2AC6" w:rsidRDefault="006F2AC6" w:rsidP="00B166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>Форми контролю та критерії оцінювання результатів навчання</w:t>
      </w: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 поточного контролю: відповіді на семінарських заняттях, стандартизовані тести, презентація, індивідуальні та групо</w:t>
      </w:r>
      <w:r w:rsidR="00B166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 завдання, здача колоквіуму</w:t>
      </w: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</w:t>
      </w:r>
      <w:r w:rsidR="00B166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 модульного контролю: дві модульні контрольні роботи</w:t>
      </w: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Форма підсумкового семестрового контролю: іспит.</w:t>
      </w:r>
    </w:p>
    <w:p w:rsidR="006F2AC6" w:rsidRPr="006F2AC6" w:rsidRDefault="006F2AC6" w:rsidP="006F2AC6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2AC6" w:rsidRPr="006F2AC6" w:rsidRDefault="006F2AC6" w:rsidP="006F2AC6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AC6" w:rsidRPr="00B166EA" w:rsidRDefault="006F2AC6" w:rsidP="00B166E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 вищої освіти (модуль 1-2)</w:t>
      </w: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695"/>
        <w:gridCol w:w="586"/>
        <w:gridCol w:w="594"/>
        <w:gridCol w:w="697"/>
        <w:gridCol w:w="575"/>
        <w:gridCol w:w="699"/>
        <w:gridCol w:w="670"/>
        <w:gridCol w:w="615"/>
        <w:gridCol w:w="1450"/>
        <w:gridCol w:w="1448"/>
        <w:gridCol w:w="850"/>
      </w:tblGrid>
      <w:tr w:rsidR="006F2AC6" w:rsidRPr="006F2AC6" w:rsidTr="000C3E18">
        <w:trPr>
          <w:cantSplit/>
        </w:trPr>
        <w:tc>
          <w:tcPr>
            <w:tcW w:w="3799" w:type="pct"/>
            <w:gridSpan w:val="10"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</w:rPr>
              <w:t>Поточне оцінювання та самостійна робота (макс. 100 балів)</w:t>
            </w:r>
          </w:p>
        </w:tc>
        <w:tc>
          <w:tcPr>
            <w:tcW w:w="756" w:type="pct"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AC6">
              <w:rPr>
                <w:rFonts w:ascii="Times New Roman" w:hAnsi="Times New Roman"/>
                <w:b/>
                <w:sz w:val="20"/>
                <w:szCs w:val="20"/>
              </w:rPr>
              <w:t xml:space="preserve">Модульний контроль 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AC6">
              <w:rPr>
                <w:rFonts w:ascii="Times New Roman" w:hAnsi="Times New Roman"/>
                <w:b/>
                <w:sz w:val="20"/>
                <w:szCs w:val="20"/>
              </w:rPr>
              <w:t>Сума</w:t>
            </w:r>
          </w:p>
        </w:tc>
      </w:tr>
      <w:tr w:rsidR="006F2AC6" w:rsidRPr="006F2AC6" w:rsidTr="000C3E18">
        <w:trPr>
          <w:cantSplit/>
        </w:trPr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Т5</w:t>
            </w:r>
          </w:p>
        </w:tc>
        <w:tc>
          <w:tcPr>
            <w:tcW w:w="75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7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(50х2)</w:t>
            </w:r>
          </w:p>
        </w:tc>
        <w:tc>
          <w:tcPr>
            <w:tcW w:w="44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6F2AC6" w:rsidRPr="006F2AC6" w:rsidTr="000C3E18">
        <w:trPr>
          <w:cantSplit/>
        </w:trPr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C6" w:rsidRPr="006F2AC6" w:rsidTr="000C3E18">
        <w:trPr>
          <w:cantSplit/>
        </w:trPr>
        <w:tc>
          <w:tcPr>
            <w:tcW w:w="134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Модуль 1 – 50 балів</w:t>
            </w:r>
          </w:p>
        </w:tc>
        <w:tc>
          <w:tcPr>
            <w:tcW w:w="2457" w:type="pct"/>
            <w:gridSpan w:val="6"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Модуль 2 – 50 балів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AC6" w:rsidRPr="006F2AC6" w:rsidRDefault="006F2AC6" w:rsidP="006F2AC6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Т1, Т2 ... – теми</w:t>
      </w:r>
    </w:p>
    <w:p w:rsidR="006F2AC6" w:rsidRPr="006F2AC6" w:rsidRDefault="006F2AC6" w:rsidP="006F2AC6">
      <w:pPr>
        <w:spacing w:after="0" w:line="240" w:lineRule="auto"/>
        <w:rPr>
          <w:lang w:eastAsia="ru-RU"/>
        </w:rPr>
      </w:pP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6F2AC6">
        <w:rPr>
          <w:rFonts w:ascii="Times New Roman" w:hAnsi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tbl>
      <w:tblPr>
        <w:tblStyle w:val="ab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276"/>
        <w:gridCol w:w="1984"/>
      </w:tblGrid>
      <w:tr w:rsidR="006F2AC6" w:rsidRPr="006F2AC6" w:rsidTr="000C3E18">
        <w:tc>
          <w:tcPr>
            <w:tcW w:w="2977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bookmarkStart w:id="1" w:name="_GoBack"/>
            <w:r w:rsidRPr="006F2AC6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3260" w:type="dxa"/>
            <w:gridSpan w:val="2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Модуль 2</w:t>
            </w:r>
          </w:p>
        </w:tc>
      </w:tr>
      <w:tr w:rsidR="006F2AC6" w:rsidRPr="006F2AC6" w:rsidTr="000C3E18">
        <w:tc>
          <w:tcPr>
            <w:tcW w:w="2977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2AC6">
              <w:rPr>
                <w:sz w:val="16"/>
                <w:szCs w:val="16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2AC6">
              <w:rPr>
                <w:sz w:val="16"/>
                <w:szCs w:val="16"/>
              </w:rPr>
              <w:t>Максимальна кількість балів (сумарна)</w:t>
            </w:r>
          </w:p>
        </w:tc>
        <w:tc>
          <w:tcPr>
            <w:tcW w:w="1276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2AC6">
              <w:rPr>
                <w:sz w:val="16"/>
                <w:szCs w:val="16"/>
              </w:rPr>
              <w:t>Кількість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2AC6">
              <w:rPr>
                <w:sz w:val="16"/>
                <w:szCs w:val="16"/>
              </w:rPr>
              <w:t>Максимальна кількість балів (сумарна)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6F2AC6" w:rsidRPr="00B7579D" w:rsidRDefault="00B7579D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AC6" w:rsidRPr="00B7579D" w:rsidRDefault="00B7579D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6F2AC6" w:rsidRPr="00B7579D" w:rsidRDefault="00B7579D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AC6" w:rsidRPr="00B7579D" w:rsidRDefault="00F434F8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7579D">
              <w:rPr>
                <w:sz w:val="24"/>
                <w:szCs w:val="24"/>
                <w:lang w:val="en-US"/>
              </w:rPr>
              <w:t>0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B7579D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F2AC6">
              <w:rPr>
                <w:sz w:val="24"/>
                <w:szCs w:val="24"/>
                <w:lang w:val="uk-UA"/>
              </w:rPr>
              <w:t xml:space="preserve">Робота на платформі </w:t>
            </w:r>
            <w:r w:rsidRPr="006F2AC6">
              <w:rPr>
                <w:sz w:val="24"/>
                <w:szCs w:val="24"/>
                <w:lang w:val="en-US"/>
              </w:rPr>
              <w:t>Coursera</w:t>
            </w:r>
            <w:r w:rsidRPr="006F2AC6">
              <w:rPr>
                <w:sz w:val="24"/>
                <w:szCs w:val="24"/>
                <w:lang w:val="uk-UA"/>
              </w:rPr>
              <w:t>: курс «</w:t>
            </w:r>
            <w:r w:rsidRPr="006F2AC6">
              <w:rPr>
                <w:sz w:val="24"/>
                <w:szCs w:val="24"/>
                <w:lang w:val="en-US"/>
              </w:rPr>
              <w:t>Greek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and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Roman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Myths</w:t>
            </w:r>
            <w:r w:rsidRPr="006F2AC6">
              <w:rPr>
                <w:sz w:val="24"/>
                <w:szCs w:val="24"/>
                <w:lang w:val="uk-UA"/>
              </w:rPr>
              <w:t>» (залучення елементів неформальної освіти)</w:t>
            </w:r>
            <w:r w:rsidR="00B7579D" w:rsidRPr="00B7579D">
              <w:rPr>
                <w:sz w:val="24"/>
                <w:szCs w:val="24"/>
                <w:lang w:val="uk-UA"/>
              </w:rPr>
              <w:t xml:space="preserve"> / </w:t>
            </w:r>
            <w:r w:rsidR="00B7579D">
              <w:rPr>
                <w:sz w:val="24"/>
                <w:szCs w:val="24"/>
                <w:lang w:val="uk-UA"/>
              </w:rPr>
              <w:t>конспектування художніх текстів</w:t>
            </w:r>
          </w:p>
        </w:tc>
        <w:tc>
          <w:tcPr>
            <w:tcW w:w="6237" w:type="dxa"/>
            <w:gridSpan w:val="4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За умови опанування матеріалу курсу із наданням сертифікату за пройдений курс</w:t>
            </w:r>
            <w:r w:rsidR="00B7579D" w:rsidRPr="00B7579D">
              <w:rPr>
                <w:sz w:val="24"/>
                <w:szCs w:val="24"/>
              </w:rPr>
              <w:t>/</w:t>
            </w:r>
            <w:r w:rsidR="00B7579D">
              <w:rPr>
                <w:sz w:val="24"/>
                <w:szCs w:val="24"/>
                <w:lang w:val="uk-UA"/>
              </w:rPr>
              <w:t xml:space="preserve">презентація конспекту </w:t>
            </w:r>
            <w:r w:rsidR="00B7579D">
              <w:rPr>
                <w:sz w:val="24"/>
                <w:szCs w:val="24"/>
                <w:lang w:val="uk-UA"/>
              </w:rPr>
              <w:t>художніх текстів</w:t>
            </w:r>
            <w:r w:rsidRPr="006F2AC6">
              <w:rPr>
                <w:sz w:val="24"/>
                <w:szCs w:val="24"/>
              </w:rPr>
              <w:t xml:space="preserve"> – </w:t>
            </w:r>
            <w:r w:rsidR="00F434F8">
              <w:rPr>
                <w:sz w:val="24"/>
                <w:szCs w:val="24"/>
              </w:rPr>
              <w:t>1</w:t>
            </w:r>
            <w:r w:rsidRPr="006F2AC6">
              <w:rPr>
                <w:sz w:val="24"/>
                <w:szCs w:val="24"/>
              </w:rPr>
              <w:t>0 балів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Презентація *</w:t>
            </w:r>
          </w:p>
        </w:tc>
        <w:tc>
          <w:tcPr>
            <w:tcW w:w="1418" w:type="dxa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Реферат*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6F2AC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6F2AC6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F2AC6" w:rsidRPr="006F2AC6">
              <w:rPr>
                <w:i/>
                <w:sz w:val="24"/>
                <w:szCs w:val="24"/>
              </w:rPr>
              <w:t>0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F2AC6" w:rsidRPr="006F2AC6" w:rsidTr="000C3E18">
        <w:tc>
          <w:tcPr>
            <w:tcW w:w="2977" w:type="dxa"/>
            <w:shd w:val="clear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2AC6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pct12" w:color="auto" w:fill="auto"/>
          </w:tcPr>
          <w:p w:rsidR="006F2AC6" w:rsidRPr="006F2AC6" w:rsidRDefault="006F2AC6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F2AC6" w:rsidRPr="006F2AC6" w:rsidRDefault="00F434F8" w:rsidP="006F2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bookmarkEnd w:id="1"/>
    <w:p w:rsidR="006F2AC6" w:rsidRPr="006F2AC6" w:rsidRDefault="006F2AC6" w:rsidP="006F2AC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>зірочкою позначені додаткові види роботи, коли студент відпрацьовує пропущений матеріал з метою покращити рейтинговий бал допуску до семестрового контролю або ж надає сертифікат, що засвідчує його роботу на певних освітніх платформах.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Критерії оцінювання на практичних (семінарських) заняттях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>Програмою передбачено проведення восьми семінарських занять, на кожному з яких студент може набрати до 10 максимальних балів: відповідь-доповідь на питання плану семінарського заняття (макс. 5 балів) та активна робота протягом заняття у вигляді доповнень доповідей з інших питань плану (по 1 балу за кожне доповнення по питанням плану).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у доповіді розкрито основні теоретичні/практичні моменти питання, наводяться цитати з художнього твору, студент вільно володіє матеріалом, знає зміст твору, що аналізується, відповідає на додаткові запитання по темі, посилається на науковий матеріал із фаху.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4 бали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чітко окреслив основні моменти питання, наявні неточності щодо суті питання, що розглядається, але наводить цитати з твору для підтвердження тих чи інших міркувань.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3 бали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володіє матеріалом в повному обсязі, не відповідає по суті питання, не орієнтується в теоретичному/практичному матеріалі, в доповіді відсутнє цитування твору, плутає наголоси, імена тощо.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2 бали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цілковито не володіє теоретичним / практичним матеріалом, не прочитав художній твір, винесений на практичне заняття, звертається до сайтів із коротким змістом творів тощо. 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Бал за доповнення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виставляться тим студентам, хто додає до вже виголошеного матеріалу суттєву інформацію, деталізує ті чи інші моменти, що виголошені тезово, доречно звертається до цитування художнього твору.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AC6">
        <w:rPr>
          <w:rFonts w:ascii="Times New Roman" w:hAnsi="Times New Roman" w:cs="Times New Roman"/>
          <w:b/>
          <w:sz w:val="24"/>
          <w:szCs w:val="24"/>
        </w:rPr>
        <w:t xml:space="preserve">Платформа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6F2AC6">
        <w:rPr>
          <w:rFonts w:ascii="Times New Roman" w:hAnsi="Times New Roman" w:cs="Times New Roman"/>
          <w:b/>
          <w:sz w:val="24"/>
          <w:szCs w:val="24"/>
        </w:rPr>
        <w:t>: курс «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6F2AC6">
        <w:rPr>
          <w:rFonts w:ascii="Times New Roman" w:hAnsi="Times New Roman" w:cs="Times New Roman"/>
          <w:b/>
          <w:sz w:val="24"/>
          <w:szCs w:val="24"/>
        </w:rPr>
        <w:t>»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C6">
        <w:rPr>
          <w:rFonts w:ascii="Times New Roman" w:hAnsi="Times New Roman" w:cs="Times New Roman"/>
          <w:sz w:val="24"/>
          <w:szCs w:val="24"/>
        </w:rPr>
        <w:tab/>
        <w:t xml:space="preserve">Робота на платформі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sz w:val="24"/>
          <w:szCs w:val="24"/>
        </w:rPr>
        <w:t xml:space="preserve">– вид додаткової навчальної роботи, пов’язаної із неформальною освітою. За бажанням студент може вдатися до цього виду навчання. Оцінкою цього виду роботи є </w:t>
      </w:r>
      <w:r w:rsidRPr="006F2AC6">
        <w:rPr>
          <w:rFonts w:ascii="Times New Roman" w:hAnsi="Times New Roman" w:cs="Times New Roman"/>
          <w:i/>
          <w:sz w:val="24"/>
          <w:szCs w:val="24"/>
        </w:rPr>
        <w:t>сертифікат</w:t>
      </w:r>
      <w:r w:rsidRPr="006F2AC6">
        <w:rPr>
          <w:rFonts w:ascii="Times New Roman" w:hAnsi="Times New Roman" w:cs="Times New Roman"/>
          <w:sz w:val="24"/>
          <w:szCs w:val="24"/>
        </w:rPr>
        <w:t xml:space="preserve">, який надається на платформі тільки після опанування всього запропонованого матеріалу та виконання письмових та тестових завдань, розроблених авторами курсу </w:t>
      </w:r>
      <w:r w:rsidRPr="006F2AC6">
        <w:rPr>
          <w:rFonts w:ascii="Times New Roman" w:hAnsi="Times New Roman" w:cs="Times New Roman"/>
          <w:b/>
          <w:sz w:val="24"/>
          <w:szCs w:val="24"/>
        </w:rPr>
        <w:t>«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6F2AC6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6F2AC6">
        <w:rPr>
          <w:rFonts w:ascii="Times New Roman" w:hAnsi="Times New Roman" w:cs="Times New Roman"/>
          <w:sz w:val="24"/>
          <w:szCs w:val="24"/>
        </w:rPr>
        <w:t xml:space="preserve">За наявності сертифікату студент отримує </w:t>
      </w:r>
      <w:r w:rsidR="00F434F8">
        <w:rPr>
          <w:rFonts w:ascii="Times New Roman" w:hAnsi="Times New Roman" w:cs="Times New Roman"/>
          <w:sz w:val="24"/>
          <w:szCs w:val="24"/>
        </w:rPr>
        <w:t>1</w:t>
      </w:r>
      <w:r w:rsidRPr="006F2AC6">
        <w:rPr>
          <w:rFonts w:ascii="Times New Roman" w:hAnsi="Times New Roman" w:cs="Times New Roman"/>
          <w:sz w:val="24"/>
          <w:szCs w:val="24"/>
        </w:rPr>
        <w:t>0 балів до рейтингу з означеної дисципліни.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презентацій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Презентація є додатковим видом навчальної роботи з дисципліни. Вона передбачена для тих студентів, хто з різних причин не зміг набрати необхідної кількості балів для допуску до іспиту або ж бажає покращити свій рейтинговий бал. Передбачається можливість виконати до 4 презентацій, або ж створити презентацію і написати реферат(-и) (вимоги до написання реферату подаються нижче). Кожна презентація оцінюється в </w:t>
      </w:r>
      <w:r w:rsidRPr="006F2AC6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>. Теми презентацій подано в програмі нижче (розділ 5.5). До презентації висуваються наступні вимоги.: 12-15 слайдів.</w:t>
      </w:r>
    </w:p>
    <w:p w:rsidR="006F2AC6" w:rsidRPr="006F2AC6" w:rsidRDefault="006F2AC6" w:rsidP="006F2A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слайди презентації повинні мати: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титульний аркуш;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основні пункти презентації;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список джерел (до 5 основних);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завершальний слайд;</w:t>
      </w:r>
    </w:p>
    <w:p w:rsidR="006F2AC6" w:rsidRPr="006F2AC6" w:rsidRDefault="006F2AC6" w:rsidP="006F2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hAnsi="Times New Roman"/>
          <w:sz w:val="24"/>
          <w:szCs w:val="24"/>
          <w:lang w:eastAsia="uk-UA"/>
        </w:rPr>
        <w:t>-хто підготував роботу.</w:t>
      </w:r>
    </w:p>
    <w:p w:rsidR="006F2AC6" w:rsidRPr="006F2AC6" w:rsidRDefault="006F2AC6" w:rsidP="006F2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hAnsi="Times New Roman" w:cs="Times New Roman"/>
          <w:sz w:val="24"/>
          <w:szCs w:val="24"/>
          <w:lang w:eastAsia="uk-UA"/>
        </w:rPr>
        <w:t xml:space="preserve">Список джерел повинен бути з докладним зазначенням вихідних матеріалів (звідки взяли ілюстрації, звуки, тексти, посилання). Крім електронних адрес потрібно вказувати і друковані видання. </w:t>
      </w:r>
    </w:p>
    <w:p w:rsidR="006F2AC6" w:rsidRPr="006F2AC6" w:rsidRDefault="006F2AC6" w:rsidP="006F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hAnsi="Times New Roman" w:cs="Times New Roman"/>
          <w:sz w:val="24"/>
          <w:szCs w:val="24"/>
          <w:lang w:eastAsia="uk-UA"/>
        </w:rPr>
        <w:t>Вимоги щодо структури та змісту навчального матеріалу:</w:t>
      </w:r>
      <w:r w:rsidRPr="006F2AC6">
        <w:rPr>
          <w:rFonts w:ascii="Times New Roman" w:hAnsi="Times New Roman" w:cs="Times New Roman"/>
          <w:sz w:val="24"/>
          <w:szCs w:val="24"/>
          <w:lang w:eastAsia="uk-UA"/>
        </w:rPr>
        <w:br/>
        <w:t>матеріал слід викладати стисло, з максимальною інформативністю тексту;</w:t>
      </w:r>
      <w:r w:rsidRPr="006F2AC6">
        <w:rPr>
          <w:rFonts w:ascii="Times New Roman" w:hAnsi="Times New Roman" w:cs="Times New Roman"/>
          <w:sz w:val="24"/>
          <w:szCs w:val="24"/>
          <w:lang w:eastAsia="uk-UA"/>
        </w:rPr>
        <w:br/>
        <w:t>слідкувати за відсутністю нагромадження, чітким порядком у всьому; ретельно структурувати інформацію; використовувати короткі та змістовні заголовки, марковані та нумеровані</w:t>
      </w:r>
      <w:r w:rsidRPr="006F2AC6">
        <w:rPr>
          <w:rFonts w:ascii="Times New Roman" w:hAnsi="Times New Roman" w:cs="Times New Roman"/>
          <w:sz w:val="24"/>
          <w:szCs w:val="24"/>
          <w:lang w:eastAsia="uk-UA"/>
        </w:rPr>
        <w:br/>
        <w:t>списки; важливі відомості (наприклад, висновки, визначення тощо)</w:t>
      </w:r>
      <w:r w:rsidRPr="006F2AC6">
        <w:rPr>
          <w:rFonts w:ascii="Times New Roman" w:hAnsi="Times New Roman" w:cs="Times New Roman"/>
          <w:sz w:val="24"/>
          <w:szCs w:val="24"/>
          <w:lang w:eastAsia="uk-UA"/>
        </w:rPr>
        <w:br/>
        <w:t>подавати крупним та виділеним шрифтом і розташовувати у лівому</w:t>
      </w:r>
      <w:r w:rsidRPr="006F2AC6"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верхньому куті екрана; 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другорядні відомості бажано розміщувати внизу сторінки; кожній ідеї 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треба відвести окремий абзац; використовувати табличні форми запису даних (діаграми, схеми) для ілюстрації важливих фактів, щоб подати матеріал компактно і наочно;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графіка повинна органічно доповнювати текст; пояснення треба розташовувати якнайближче до ілюстрацій, з якими вони мають одночасно з'являтися на екрані; усі текстові дані потрібно ретельно перевірити на відсутність орфографічних, граматичних і стилістичних помилок, дотримуватися прийнятих правил скорочень; форма представлення інформації повинна відповідати рівню знань слухачів.</w:t>
      </w:r>
    </w:p>
    <w:p w:rsidR="006F2AC6" w:rsidRPr="006F2AC6" w:rsidRDefault="006F2AC6" w:rsidP="006F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визначених вимог дозволяє отримати 5 балів за презентацію. Відсутність логіки викладу, недотримання вимог, невичитаний текст слайдів, нерозкрита тема презентації призводить до зняття балів.</w:t>
      </w:r>
    </w:p>
    <w:p w:rsidR="006F2AC6" w:rsidRPr="006F2AC6" w:rsidRDefault="006F2AC6" w:rsidP="006F2A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F2AC6" w:rsidRPr="006F2AC6" w:rsidRDefault="006F2AC6" w:rsidP="006F2A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Критерії оцінювання рефератів</w:t>
      </w:r>
    </w:p>
    <w:p w:rsidR="006F2AC6" w:rsidRPr="006F2AC6" w:rsidRDefault="006F2AC6" w:rsidP="006F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Написання реферату – ще один вид роботи, що дозволяє студенту отримати додаткову кількість балів до рейтингу. Реферат оцінюється в </w:t>
      </w:r>
      <w:r w:rsidRPr="006F2AC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 балів,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передбачено можливість написати до 4 рефератів. Реферат пишеться на від руки. Обсяг реферату – 10 стор А4. Реферат повинен містити титульний аркуш, сторінку змісту, вступ із обґрунтуванням актуальності теми, оглядом літератури з теми дослідження. Основна частина реферату – 7-8 сторінок, де розкривається обрана тема, подаються покликання на джерела, можливий цитований матеріал як з критичних джерел, так і з художнього тексту (художній текст можна використовувати мовою оригіналу, або ж українськомовний переклад). Завершують реферат висновки за обраною темою – це  підсумок проведеної роботи. В кінці реферату подаються використані джерела з дотриманням усіх вимог, що висуваються до оформлення наукового апарату.</w:t>
      </w:r>
    </w:p>
    <w:p w:rsidR="006F2AC6" w:rsidRPr="006F2AC6" w:rsidRDefault="006F2AC6" w:rsidP="006F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Недотримання вимог, що висуваються до написання реферату: недбале оформлення, нерозкрита тема реферату, відсутність покликань, цитованого матеріалу, неправильне оформлення списку використаних джерел дають підстави для зниження балів під час оцінювання.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iCs/>
          <w:sz w:val="24"/>
          <w:szCs w:val="24"/>
        </w:rPr>
        <w:tab/>
        <w:t>Теми рефератів подано в програмі нижче (розділ 5.5).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6F2AC6">
        <w:rPr>
          <w:rFonts w:ascii="Times New Roman" w:hAnsi="Times New Roman"/>
          <w:b/>
          <w:iCs/>
          <w:sz w:val="24"/>
          <w:szCs w:val="24"/>
        </w:rPr>
        <w:t>Критерії оцінювання модульної контрольної роботи</w:t>
      </w:r>
    </w:p>
    <w:p w:rsidR="002054DA" w:rsidRPr="00BD692A" w:rsidRDefault="002054DA" w:rsidP="002054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Модульна контрольна робота №1 та №2 містить по 1 теоретичному питанню. Максимальна кількість балів, які може отримати здобувач, - це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балів за теоретичну частину.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.</w:t>
      </w:r>
    </w:p>
    <w:p w:rsidR="006F2AC6" w:rsidRPr="006F2AC6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54DA" w:rsidRPr="00BD692A" w:rsidRDefault="002054DA" w:rsidP="002054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Типовий варіант модульної контрольної роботи</w:t>
      </w:r>
    </w:p>
    <w:p w:rsidR="002054DA" w:rsidRPr="00BD692A" w:rsidRDefault="002054DA" w:rsidP="002054DA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На які види поділяють епос? До якого різновиду епосу зараховують поеми Гомера? Які міфи покладено в основу поеми Гомера «Іліада»? Дайте характеристику образу Ахілла.</w:t>
      </w:r>
    </w:p>
    <w:p w:rsidR="002054DA" w:rsidRPr="00BD692A" w:rsidRDefault="002054DA" w:rsidP="002054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2054DA" w:rsidRPr="00BD692A" w:rsidRDefault="002054DA" w:rsidP="002054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BD692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Оцінка розписової частини модульної контрольної роботи</w:t>
      </w:r>
    </w:p>
    <w:p w:rsidR="002054DA" w:rsidRPr="00BD692A" w:rsidRDefault="002054DA" w:rsidP="002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 питання контрольної роботи в повному обсязі, мають місце обґрунтованість та повнота відповіді на теоретичні та практичні завдання. Студент вільно володіє термінологічним апаратом, не плутається щодо визначення жанрових форм твору, сюжетних ліній, імен героїв.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Презентує фактологічний матеріал твору, вміє його інтерпретувати, при цьому посилаючись на критичну літературу.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Можлива присутність деяких недоліків у вигляді описок.</w:t>
      </w:r>
    </w:p>
    <w:p w:rsidR="002054DA" w:rsidRPr="00BD692A" w:rsidRDefault="002054DA" w:rsidP="002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питання контрольної роботи в повному обсязі, висвітлені всі теоретичні та практичні завдання, але має місце деяка необґрунтованість розкриття цих питань. </w:t>
      </w:r>
      <w:r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Можлива присутність деяких недоліків у вигляді технічних помилок та описок.</w:t>
      </w:r>
    </w:p>
    <w:p w:rsidR="002054DA" w:rsidRPr="00BD692A" w:rsidRDefault="002054DA" w:rsidP="002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Результат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10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14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немає повної відповіді на теоретичні та практичні завдання, але практичне завдання в основному виконане. Можлива присутність деяких грубих теоретичних або практичних помилок.</w:t>
      </w:r>
    </w:p>
    <w:p w:rsidR="002054DA" w:rsidRPr="00BD692A" w:rsidRDefault="002054DA" w:rsidP="0020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lastRenderedPageBreak/>
        <w:t>Результат 1-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9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повністю відсутні відповіді на теоретичні та практичні завдання. Зазначена кількість балів може бути виставлена, якщо відповіді були не по суті теоретичних та практичних питань.</w:t>
      </w:r>
    </w:p>
    <w:p w:rsidR="006F2AC6" w:rsidRPr="002054DA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Cs/>
          <w:color w:val="000000"/>
          <w:sz w:val="24"/>
          <w:szCs w:val="24"/>
          <w:lang w:val="ru-RU"/>
        </w:rPr>
      </w:pPr>
    </w:p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Критерії оцінювання підсумкового семестрового контролю</w:t>
      </w:r>
    </w:p>
    <w:p w:rsidR="006F2AC6" w:rsidRPr="006F2AC6" w:rsidRDefault="006F2AC6" w:rsidP="006F2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 xml:space="preserve"> </w:t>
      </w:r>
      <w:r w:rsidRPr="006F2AC6">
        <w:rPr>
          <w:rFonts w:ascii="Times New Roman" w:hAnsi="Times New Roman"/>
          <w:sz w:val="24"/>
          <w:szCs w:val="24"/>
        </w:rPr>
        <w:tab/>
        <w:t xml:space="preserve">Програмою передбачено таку форму контролю, як іспит. 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Підсумковий семестровий контроль здійснюється за результатами модульного контролю та усної відповіді на питання, що входять до екзаменаційних білетів. Оцінка виставляється за 100-бальною шкалою, яка переводиться у національну шкалу та шкалу </w:t>
      </w:r>
      <w:r w:rsidRPr="006F2AC6">
        <w:rPr>
          <w:rFonts w:asciiTheme="majorBidi" w:hAnsiTheme="majorBidi" w:cstheme="majorBidi"/>
          <w:b/>
          <w:bCs/>
          <w:sz w:val="24"/>
          <w:szCs w:val="24"/>
        </w:rPr>
        <w:t>ECTS.</w:t>
      </w:r>
    </w:p>
    <w:p w:rsidR="006F2AC6" w:rsidRPr="006F2AC6" w:rsidRDefault="006F2AC6" w:rsidP="006F2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2AC6">
        <w:rPr>
          <w:rFonts w:asciiTheme="majorBidi" w:hAnsiTheme="majorBidi" w:cstheme="majorBidi"/>
          <w:b/>
          <w:bCs/>
          <w:sz w:val="24"/>
          <w:szCs w:val="24"/>
        </w:rPr>
        <w:t>Шкала оцінювання: національна та ECTS</w:t>
      </w:r>
    </w:p>
    <w:tbl>
      <w:tblPr>
        <w:tblW w:w="840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199"/>
        <w:gridCol w:w="2448"/>
        <w:gridCol w:w="2448"/>
      </w:tblGrid>
      <w:tr w:rsidR="006F2AC6" w:rsidRPr="006F2AC6" w:rsidTr="000C3E18">
        <w:trPr>
          <w:trHeight w:val="835"/>
        </w:trPr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Шкала ЕКТС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Диференційована шкала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Недиференційована шкала</w:t>
            </w: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Мін. бал - Макс. бал</w:t>
            </w:r>
          </w:p>
        </w:tc>
      </w:tr>
      <w:tr w:rsidR="006F2AC6" w:rsidRPr="006F2AC6" w:rsidTr="000C3E18">
        <w:trPr>
          <w:trHeight w:val="362"/>
        </w:trPr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90-100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добре</w:t>
            </w:r>
          </w:p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82-89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74-81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задовільно</w:t>
            </w:r>
          </w:p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64-73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60-63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Незараховано</w:t>
            </w: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35-59</w:t>
            </w:r>
          </w:p>
        </w:tc>
      </w:tr>
      <w:tr w:rsidR="006F2AC6" w:rsidRPr="006F2AC6" w:rsidTr="000C3E18">
        <w:tc>
          <w:tcPr>
            <w:tcW w:w="1307" w:type="dxa"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6F2AC6" w:rsidRPr="006F2AC6" w:rsidRDefault="006F2AC6" w:rsidP="006F2AC6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0-34</w:t>
            </w:r>
          </w:p>
        </w:tc>
      </w:tr>
    </w:tbl>
    <w:p w:rsidR="006F2AC6" w:rsidRPr="006F2AC6" w:rsidRDefault="006F2AC6" w:rsidP="006F2A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Cs/>
          <w:color w:val="000000"/>
          <w:sz w:val="24"/>
          <w:szCs w:val="24"/>
        </w:rPr>
      </w:pPr>
    </w:p>
    <w:p w:rsidR="002054DA" w:rsidRPr="00BD692A" w:rsidRDefault="002054DA" w:rsidP="002054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«відмінно» (90–100 б.)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 питання екзамену в повному обсязі, мають місце обґрунтованість та повнота відповіді на теоретичні та практичні питання. </w:t>
      </w:r>
      <w:r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інтерпретувати, при цьому посилаючись на критичну літературу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Можлива присутність деяких недоліків у вигляді описок.</w:t>
      </w:r>
    </w:p>
    <w:p w:rsidR="002054DA" w:rsidRPr="00BD692A" w:rsidRDefault="002054DA" w:rsidP="002054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«добре» (74-89 б.)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– виставляється, якщо студент відповів на питання екзамену в повному обсязі, висвітлені всі теоретичні та практичні питання, але має місце деяка необґрунтованість розкриття цих питань. </w:t>
      </w:r>
      <w:r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Можлива присутність деяких недоліків у вигляді технічних помилок та описок.</w:t>
      </w:r>
    </w:p>
    <w:p w:rsidR="002054DA" w:rsidRPr="00BD692A" w:rsidRDefault="002054DA" w:rsidP="002054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«задовільно» (60-73 б.)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/>
        </w:rPr>
        <w:t>Можлива присутність деяких грубих теоретичних або практичних помилок.</w:t>
      </w:r>
    </w:p>
    <w:p w:rsidR="002054DA" w:rsidRPr="00BD692A" w:rsidRDefault="002054DA" w:rsidP="002054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«незадовільно» (1-59 б.)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6F2AC6" w:rsidRPr="002054DA" w:rsidRDefault="006F2AC6" w:rsidP="006F2AC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ru-RU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5. ПРОГРАМА НАВЧАЛЬНОЇ ДИСЦИПЛІНИ</w:t>
      </w:r>
    </w:p>
    <w:p w:rsidR="006F2AC6" w:rsidRPr="006F2AC6" w:rsidRDefault="006F2AC6" w:rsidP="006F2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5.1. Зміст навчальної дисципліни</w:t>
      </w: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Модуль 1.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2AC6">
        <w:rPr>
          <w:rFonts w:ascii="Times New Roman" w:hAnsi="Times New Roman"/>
          <w:sz w:val="24"/>
          <w:szCs w:val="24"/>
        </w:rPr>
        <w:t>Антична література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1. </w:t>
      </w:r>
      <w:r w:rsidRPr="006F2AC6">
        <w:rPr>
          <w:rFonts w:ascii="Times New Roman" w:hAnsi="Times New Roman"/>
          <w:sz w:val="24"/>
          <w:szCs w:val="24"/>
          <w:lang w:val="ru-RU"/>
        </w:rPr>
        <w:t>Антична література у контексті літератури світової. Гомерівський період. Поеми Гомера «Іліада» та «Одіссея»: соціально-історична основа, архітектоніка, міфологія, прогресивні тенденції</w:t>
      </w:r>
      <w:r w:rsidRPr="006F2AC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lastRenderedPageBreak/>
        <w:t>Дидактичний епос /післягомерівський період/. Поема Гесіода «Труди і дні» як зразок архаїчної дидактики. Пародійний епос / «Батрахоміомахія, або війна жаб і мишей»/.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2. </w:t>
      </w:r>
      <w:r w:rsidRPr="006F2AC6">
        <w:rPr>
          <w:rFonts w:ascii="Times New Roman" w:hAnsi="Times New Roman"/>
          <w:sz w:val="24"/>
          <w:szCs w:val="24"/>
          <w:lang w:val="ru-RU"/>
        </w:rPr>
        <w:t>Старогрецька лірика /Каллін. Тіртей. Солон. Мімнерм. Архілох/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Старогрецька любовна лірика. Провідні теми поетичної творчості Алкея, Сапфо, Анакреона, Піндара</w:t>
      </w:r>
      <w:r w:rsidRPr="006F2AC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 xml:space="preserve">Аттічний період. Античний театр. 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Зародження походження драми. Класична трагедія. Есхіл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Перси», «Прометей закутий»/, Софокл /«Цар Едіп», «Антігона»/, Еврипід /«Медея»/.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Давня аттична комедія. Походження комедії. Творчість Аристофана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Вершники», «Жаби»/. Тема війни і миру в комедіях Аристофана. Старогрецька філософія /Геракліт.  Демокріт. Сократ. Платон. «Поетика» Аристотеля/.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Література доби еллінізму та епохи Римського панування. Римський театр.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Нова аттична комедія. Творчість Менандра /комедія «Відлюдник»/.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Комедії  Тіта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Плавта і Публія Теренція Афра. Наукова проза /Плутарх. Лукіан із Самосати/. Олександрійська лірика і грецький роман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Дафніс і Хлоя» Лонга/.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4. 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 Римська література періоду громадянських війн та принципату.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Творчість Луцілія. Трактат Тіта Лукреція Кара «Про природу речей». Поезія неотериків /Гай Валерій Катулл – вірші про Лесбії/.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Римська література доби принципату. 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Творчість Публія Вергілія Марона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Буколіки», «Георгіки», героїчна поема «Енеїда»/ і Квінта Горація Флакка /«Римські оди», «Послання до Пізонів»/.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 xml:space="preserve">Творчість Овідія Назона у контексті літератури </w:t>
      </w:r>
      <w:proofErr w:type="gramStart"/>
      <w:r w:rsidRPr="006F2AC6">
        <w:rPr>
          <w:rFonts w:ascii="Times New Roman" w:hAnsi="Times New Roman"/>
          <w:sz w:val="24"/>
          <w:szCs w:val="24"/>
          <w:lang w:val="ru-RU"/>
        </w:rPr>
        <w:t>Стародавнього  Риму</w:t>
      </w:r>
      <w:proofErr w:type="gramEnd"/>
      <w:r w:rsidRPr="006F2AC6">
        <w:rPr>
          <w:rFonts w:ascii="Times New Roman" w:hAnsi="Times New Roman"/>
          <w:sz w:val="24"/>
          <w:szCs w:val="24"/>
          <w:lang w:val="ru-RU"/>
        </w:rPr>
        <w:t xml:space="preserve"> періоду занепаду імперії.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«Любовні елегії», «Наука кохання», «Фасти», «Метаморфози» - міфологічна енциклопедія у віршах, «Скорботні елегії», Послання з Понту» Овідія.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Трагедії Сенеки. Сатира Марціала та Ювенала. Проза Петронія Арбітра, Лукіана та Лучія Апулея.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Модуль 2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Середніх віків та Відродження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1.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Середніх віків:</w:t>
      </w:r>
      <w:r w:rsidRPr="006F2A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історичні передумови формування, особливості, етапи розвитку. Кельтський епос. Германський епос. Англосаксонська «Поема про Беовульфа».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Література раннього Середньовіччя /ІІІ-Х ст./ та література зрілого феодалізму /ХІ-ХIVст./ Еддична поезія. Поезія скальдів /Егіль Скалагримсон, Сноррі Стурлусон/.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>Староскандинавські саги. Французький /«Пісня про Роланда»/, іспанський /«Пісня про мого Сіда»/ та німецький героїчний епос /«Пісня про Нібелунгів»/.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2. </w:t>
      </w:r>
      <w:r w:rsidRPr="006F2AC6">
        <w:rPr>
          <w:rFonts w:ascii="Times New Roman" w:hAnsi="Times New Roman"/>
          <w:sz w:val="24"/>
          <w:szCs w:val="24"/>
          <w:lang w:val="ru-RU"/>
        </w:rPr>
        <w:t>Література зрілого феодалізму /продовження/. Література латинською мовою. Поезія вагантів. Жанри лірики трубадурів. Німецький мі</w:t>
      </w:r>
      <w:r w:rsidRPr="006F2AC6">
        <w:rPr>
          <w:rFonts w:ascii="Times New Roman" w:hAnsi="Times New Roman"/>
          <w:sz w:val="24"/>
          <w:szCs w:val="24"/>
        </w:rPr>
        <w:t>нн</w:t>
      </w:r>
      <w:r w:rsidRPr="006F2AC6">
        <w:rPr>
          <w:rFonts w:ascii="Times New Roman" w:hAnsi="Times New Roman"/>
          <w:sz w:val="24"/>
          <w:szCs w:val="24"/>
          <w:lang w:val="ru-RU"/>
        </w:rPr>
        <w:t>езанг. Рицарський роман та його типи. Романи про Трістана та Ізольду.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 література. Жанри міської літератури. /Фабліо. Шванк/.  «Роман про Лиса». Народна сміхова культура.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3. 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Література доби Відродження /загальний огляд/. Хронологічні й географічні межі літератури Ренесансу. 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Відродження в Італії. Творчість Данте Аліг’єрі / «Нове життя», «Божественна комедія»/.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раннього Відродження: творчість Франческо Петрарки і Джованні Боккаччо /Треченто/. Література пізнього Відродження /Кватроченто/. Література І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періоду /Чінквенченто/: творчість Ариосто і Тассо.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Відродження у Німеччині та Нідерландах. Сатира Севастіана Бранта </w:t>
      </w:r>
      <w:proofErr w:type="gramStart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Корабель дурнів»/. «Діалоги» «Ульріха фон Гуттена. Бюргерська література. Народні книги /про Фауста і Тіля Ойленшпігеля/.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Реформації й Великої Селянської війни. Бюргерська література після Реформації. Творчість Ганса Сакса. Гуманізм у Нідерландах. Творчість Еразма Роттердамського / «Похвальне слово Глупоті»/.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Відродження у Франції. Проторенесансні ознаки поезії Франсуа Війона. Гурток Маргарити Наваррської, її роман «Гептамерон».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lastRenderedPageBreak/>
        <w:t>Відродження у Франції /продовження/. Життєвий шлях Франсуа Рабле як характерна біографічна парадигма ренесансної доби. Синтетизм і універсалізм роману «Гаргантюа і Пантагрюель», відображення у ньому карнавальних універсалій.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  <w:lang w:val="ru-RU"/>
        </w:rPr>
        <w:t xml:space="preserve">Тема 5. </w:t>
      </w:r>
      <w:r w:rsidRPr="006F2AC6">
        <w:rPr>
          <w:rFonts w:ascii="Times New Roman" w:hAnsi="Times New Roman"/>
          <w:sz w:val="24"/>
          <w:szCs w:val="24"/>
          <w:lang w:val="ru-RU"/>
        </w:rPr>
        <w:t>Літературна практика «Плеяди». Тематична і поетична лірики П’єра де Ронсара. Вираження кризи гуманістичних ідеалів у творчості Мішеля Монтеня. Лопе де Вега і театр. Його п’єси «Фуенте Овехуна», «Собака на сіні». Майстерність драматурга.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Особливості іспанського Відродження /загальна характеристика/. Мігель де Сервантес як особистість ренесансної доби. Реалістичне зображення іспанської дійсності у новелах Сервантеса.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</w:rPr>
        <w:t xml:space="preserve"> </w:t>
      </w:r>
      <w:r w:rsidRPr="006F2AC6">
        <w:rPr>
          <w:rFonts w:ascii="Times New Roman" w:hAnsi="Times New Roman"/>
          <w:sz w:val="24"/>
          <w:szCs w:val="24"/>
          <w:lang w:val="ru-RU"/>
        </w:rPr>
        <w:t>«Дон Кіхот» Сервантеса – величне досягнення іспанської літератури доби Відродження; його національно-історична та жанрово-літературна основа. Зв’язок твору з карнавальною культурою, специфіка авторської позиції.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Соціальний і філософський зміст образу головного героя роману та йог</w:t>
      </w:r>
      <w:r w:rsidRPr="006F2AC6">
        <w:rPr>
          <w:rFonts w:ascii="Times New Roman" w:hAnsi="Times New Roman"/>
          <w:sz w:val="24"/>
          <w:szCs w:val="24"/>
        </w:rPr>
        <w:t xml:space="preserve">о </w:t>
      </w:r>
      <w:r w:rsidRPr="006F2AC6">
        <w:rPr>
          <w:rFonts w:ascii="Times New Roman" w:hAnsi="Times New Roman"/>
          <w:sz w:val="24"/>
          <w:szCs w:val="24"/>
          <w:lang w:val="ru-RU"/>
        </w:rPr>
        <w:t>супутника Санчо Панси.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b/>
          <w:sz w:val="24"/>
          <w:szCs w:val="24"/>
        </w:rPr>
        <w:t xml:space="preserve">Тема 6. </w:t>
      </w:r>
      <w:r w:rsidRPr="006F2AC6">
        <w:rPr>
          <w:rFonts w:ascii="Times New Roman" w:hAnsi="Times New Roman"/>
          <w:sz w:val="24"/>
          <w:szCs w:val="24"/>
          <w:lang w:val="ru-RU"/>
        </w:rPr>
        <w:t>Відродження в Англії /дошекспірівський період/.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Проторенесансні ознаки творчості Джеффрі Чосера. Література зрілого і пізнього Відродження: Едмунд Спенсер, Джон Ліл</w:t>
      </w:r>
      <w:r w:rsidRPr="006F2AC6">
        <w:rPr>
          <w:rFonts w:ascii="Times New Roman" w:hAnsi="Times New Roman"/>
          <w:sz w:val="24"/>
          <w:szCs w:val="24"/>
        </w:rPr>
        <w:t>ло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, Крістофер Марло. 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Англійський утопічний роман. Жанрова специфіка жанру утопії. Від утопії до антиутопії: «Місто Сонця» Кампанелли й «Утопія» Томаса Мора.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 xml:space="preserve">Англійське Відродження. Біографія В.Шекспіра. Періодизація та класифікація його творів. </w:t>
      </w:r>
      <w:r w:rsidRPr="006F2AC6">
        <w:rPr>
          <w:rFonts w:ascii="Times New Roman" w:hAnsi="Times New Roman"/>
          <w:sz w:val="24"/>
          <w:szCs w:val="24"/>
          <w:lang w:val="ru-RU"/>
        </w:rPr>
        <w:t xml:space="preserve">Сонети як сюжетний цикл, образ ліричного героя в сонетах. Загальна характеристика хронік. Комедії В.Шекспіра </w:t>
      </w:r>
      <w:proofErr w:type="gramStart"/>
      <w:r w:rsidRPr="006F2AC6">
        <w:rPr>
          <w:rFonts w:ascii="Times New Roman" w:hAnsi="Times New Roman"/>
          <w:sz w:val="24"/>
          <w:szCs w:val="24"/>
          <w:lang w:val="ru-RU"/>
        </w:rPr>
        <w:t>/«</w:t>
      </w:r>
      <w:proofErr w:type="gramEnd"/>
      <w:r w:rsidRPr="006F2AC6">
        <w:rPr>
          <w:rFonts w:ascii="Times New Roman" w:hAnsi="Times New Roman"/>
          <w:sz w:val="24"/>
          <w:szCs w:val="24"/>
          <w:lang w:val="ru-RU"/>
        </w:rPr>
        <w:t>Сон літньої ночі», «Дванадцята ніч»/.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  <w:lang w:val="ru-RU"/>
        </w:rPr>
        <w:t>Характер трагічного, побудова конфлікту, тип героя у трагедіях В.Шекспіра. «Ромео і Джульєтт» - «оптимістична трагедія» про кохання. Шекспірівські твори другого періоду творчості / «Отелло», «Макбет» та найбільша філософська трагедія «Гамлет» /.</w:t>
      </w:r>
    </w:p>
    <w:p w:rsidR="006F2AC6" w:rsidRPr="006F2AC6" w:rsidRDefault="006F2AC6" w:rsidP="006F2A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F2AC6">
        <w:rPr>
          <w:rFonts w:ascii="Times New Roman" w:hAnsi="Times New Roman"/>
          <w:sz w:val="24"/>
          <w:szCs w:val="24"/>
        </w:rPr>
        <w:t>Трагічний шлях людини до духовних засад людського існування в трагедіях та трагікомедіях В.Шекспіра / на прикладі трагедії «Король Лір» та трагікомедії «Буря», «Зимова казка»/.</w:t>
      </w:r>
    </w:p>
    <w:p w:rsidR="006F2AC6" w:rsidRPr="006F2AC6" w:rsidRDefault="006F2AC6" w:rsidP="006F2A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F2AC6" w:rsidRPr="006F2AC6" w:rsidRDefault="006F2AC6" w:rsidP="006F2AC6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5.2. </w:t>
      </w:r>
      <w:r w:rsidRPr="006F2AC6">
        <w:rPr>
          <w:rFonts w:ascii="Times New Roman" w:hAnsi="Times New Roman"/>
          <w:b/>
          <w:bCs/>
          <w:sz w:val="24"/>
          <w:szCs w:val="24"/>
        </w:rPr>
        <w:t>Структура навчальної дисципліни</w:t>
      </w:r>
    </w:p>
    <w:tbl>
      <w:tblPr>
        <w:tblW w:w="49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4"/>
        <w:gridCol w:w="891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6F2AC6" w:rsidRPr="006F2AC6" w:rsidTr="000C3E18">
        <w:trPr>
          <w:cantSplit/>
        </w:trPr>
        <w:tc>
          <w:tcPr>
            <w:tcW w:w="1454" w:type="pct"/>
            <w:vMerge w:val="restar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546" w:type="pct"/>
            <w:gridSpan w:val="12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6F2AC6" w:rsidRPr="006F2AC6" w:rsidTr="000C3E18">
        <w:trPr>
          <w:cantSplit/>
        </w:trPr>
        <w:tc>
          <w:tcPr>
            <w:tcW w:w="1454" w:type="pct"/>
            <w:vMerge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gridSpan w:val="6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83" w:type="pct"/>
            <w:gridSpan w:val="6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6F2AC6" w:rsidRPr="006F2AC6" w:rsidTr="000C3E18">
        <w:trPr>
          <w:cantSplit/>
        </w:trPr>
        <w:tc>
          <w:tcPr>
            <w:tcW w:w="1454" w:type="pct"/>
            <w:vMerge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Merge w:val="restar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89" w:type="pct"/>
            <w:gridSpan w:val="5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308" w:type="pct"/>
            <w:gridSpan w:val="5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6F2AC6" w:rsidRPr="006F2AC6" w:rsidTr="000C3E18">
        <w:trPr>
          <w:cantSplit/>
        </w:trPr>
        <w:tc>
          <w:tcPr>
            <w:tcW w:w="1454" w:type="pct"/>
            <w:vMerge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475" w:type="pct"/>
            <w:vMerge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с.р.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2AC6" w:rsidRPr="006F2AC6" w:rsidTr="000C3E18">
        <w:trPr>
          <w:cantSplit/>
        </w:trPr>
        <w:tc>
          <w:tcPr>
            <w:tcW w:w="5000" w:type="pct"/>
            <w:gridSpan w:val="13"/>
          </w:tcPr>
          <w:p w:rsidR="006F2AC6" w:rsidRPr="006F2AC6" w:rsidRDefault="006F2AC6" w:rsidP="006F2AC6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         </w:t>
            </w: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1-ий семестр                                                1-2 – ий семестр</w:t>
            </w:r>
          </w:p>
        </w:tc>
      </w:tr>
      <w:tr w:rsidR="006F2AC6" w:rsidRPr="006F2AC6" w:rsidTr="000C3E18">
        <w:trPr>
          <w:cantSplit/>
        </w:trPr>
        <w:tc>
          <w:tcPr>
            <w:tcW w:w="5000" w:type="pct"/>
            <w:gridSpan w:val="13"/>
          </w:tcPr>
          <w:p w:rsidR="006F2AC6" w:rsidRPr="006F2AC6" w:rsidRDefault="006F2AC6" w:rsidP="006F2AC6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Модуль 1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. Антична література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Антична література у контексті літератури світової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. Гомерівський період. Поеми Гомера «Іліада» та «Одіссея.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Дидактичний епос /післягомерівський період/. Пародійний епос.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Старогрецька лірика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Старогрецька любовна лірика. 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Аттічний період. Античний театр. 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Класична трагедія. Есхіл, Софокл, Еврипід.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6F2AC6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Давня аттична комедія. Походження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комедії. Творчість Аристофана.Старогрецька філософія. Література доби еллінізму та епохи Римського панування. Римський театр. Нова аттична комедія. Наукова проза. Олександрійська лірика і грецький роман.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Римська література періоду громадянських війн та принципанту.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Творчість Луцілія, Тіта Лукреція Кара.  Поезія неотериків.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Римська література доби принципату.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Творчість Публія Вергілія Марона і Квінта Горація Флакка.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Творчість  Овідія</w:t>
            </w:r>
            <w:proofErr w:type="gramEnd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Назона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Трагедії Сенеки. Сатира Марціала та Ювенала. Проза Петронія Арбітра, Лукіана та Лучія Апулея.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Разом за модуль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6F2AC6" w:rsidRPr="006F2AC6" w:rsidTr="000C3E18">
        <w:trPr>
          <w:cantSplit/>
        </w:trPr>
        <w:tc>
          <w:tcPr>
            <w:tcW w:w="5000" w:type="pct"/>
            <w:gridSpan w:val="13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Модуль 2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Література Середніх віків і Відродження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1.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Вступна лекція. Література Середніх віків:</w:t>
            </w:r>
            <w:r w:rsidRPr="006F2A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етапи розвитку. Кельтський епос. Германський епос. Англосаксонська «Поема про Беовульфа».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Література раннього Середньовіччя /ІІІ-Х ст./ та література зрілого феодалізму /ХІ-ХIVст./ Еддична поезія. Поезія скальдів. Героїчний епос.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Література латинською мовою. Поезія вагантів. Жанри лірики трубадурів. Німецький мінн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езанг. Рицарський роман та його типи. </w:t>
            </w:r>
          </w:p>
          <w:p w:rsidR="006F2AC6" w:rsidRPr="006F2AC6" w:rsidRDefault="006F2AC6" w:rsidP="006F2AC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Міська література.</w:t>
            </w: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Література доби Відродження /загальний огляд/. 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Відродження в Італії. Творчість Данте Аліг’єрі </w:t>
            </w:r>
            <w:proofErr w:type="gramStart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/«</w:t>
            </w:r>
            <w:proofErr w:type="gramEnd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Нове життя», «Божественна комедія»/.</w:t>
            </w:r>
            <w:r w:rsidRPr="006F2A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Література раннього Відродження (Петрарка, Боккаччо). Література пізнього Відродження. Література IV</w:t>
            </w:r>
            <w:r w:rsidRPr="006F2AC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пер</w:t>
            </w: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іоду.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6F2AC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Відродження  у</w:t>
            </w:r>
            <w:proofErr w:type="gramEnd"/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Німеччині та Нідерландах. Література Реформації й Великої Селянської війни. Бюргерська література після Реформації. Гуманізм у Нідерландах. Відродження у Франції. Життєвий шлях Франсуа Рабле. Роман «Гаргантюа і Пантагрюель».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5.</w:t>
            </w:r>
            <w:r w:rsidRPr="006F2AC6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Літературна практика «Плеяди». Тематична і поетична лірики П’єра де Ронсара. Вираження кризи гуманістичних ідеалів у творчості Мішеля Монтеня. Лопе де Вега і театр. Особливості іспанського Відродження /загальна характеристика/. Мігель де Сервантес. «Дон Кіхот» Сервантеса – величне досягнення іспанської літератури доби Відродження.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6.</w:t>
            </w:r>
            <w:r w:rsidRPr="006F2A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Відродження в Англії /дошекспірівський період/. Джеффрі Чосер. Література зрілого і пізнього Відродження. 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Англійський утопічний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роман.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Англійське Відродження. Біографія В.Шекспіра. Періодизація та класифікація його творів.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Характер трагічного, побудова конфлікту, тип героя у трагедіях В.Шекспіра. «Ромео і Джульєтт». Шекспірівські твори другого періоду </w:t>
            </w:r>
            <w:r w:rsidRPr="006F2AC6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творчості.</w:t>
            </w: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Трагічний шлях людини до духовних засад людського існування в трагедіях та трагікомедіях В.Шекспіра.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Разом за модуль 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6F2AC6" w:rsidRPr="006F2AC6" w:rsidTr="000C3E18">
        <w:tc>
          <w:tcPr>
            <w:tcW w:w="1454" w:type="pct"/>
          </w:tcPr>
          <w:p w:rsidR="006F2AC6" w:rsidRPr="006F2AC6" w:rsidRDefault="006F2AC6" w:rsidP="006F2AC6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Разом за семестр </w:t>
            </w:r>
          </w:p>
        </w:tc>
        <w:tc>
          <w:tcPr>
            <w:tcW w:w="474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5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6" w:type="pct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pct"/>
          </w:tcPr>
          <w:p w:rsidR="006F2AC6" w:rsidRPr="006F2AC6" w:rsidRDefault="006F2AC6" w:rsidP="006F2A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</w:tr>
    </w:tbl>
    <w:p w:rsidR="006F2AC6" w:rsidRPr="006F2AC6" w:rsidRDefault="006F2AC6" w:rsidP="006F2AC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bCs/>
          <w:sz w:val="24"/>
          <w:szCs w:val="24"/>
        </w:rPr>
        <w:t>5.3. </w:t>
      </w:r>
      <w:r w:rsidRPr="006F2AC6">
        <w:rPr>
          <w:rFonts w:ascii="Times New Roman" w:hAnsi="Times New Roman"/>
          <w:b/>
          <w:sz w:val="24"/>
          <w:szCs w:val="24"/>
        </w:rPr>
        <w:t>Теми практичних (семінарських, лабораторних)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658"/>
        <w:gridCol w:w="1418"/>
      </w:tblGrid>
      <w:tr w:rsidR="006F2AC6" w:rsidRPr="006F2AC6" w:rsidTr="000C3E18">
        <w:tc>
          <w:tcPr>
            <w:tcW w:w="705" w:type="dxa"/>
            <w:vMerge w:val="restart"/>
            <w:vAlign w:val="center"/>
          </w:tcPr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658" w:type="dxa"/>
            <w:vMerge w:val="restart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8" w:type="dxa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6F2AC6" w:rsidRPr="006F2AC6" w:rsidTr="000C3E18">
        <w:tc>
          <w:tcPr>
            <w:tcW w:w="705" w:type="dxa"/>
            <w:vMerge/>
            <w:vAlign w:val="center"/>
          </w:tcPr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vMerge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6F2AC6" w:rsidRPr="006F2AC6" w:rsidTr="000C3E18">
        <w:trPr>
          <w:trHeight w:val="430"/>
        </w:trPr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Поема Гомера «Іліада» - видатна пам’ятка старогрецької літератури».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Поема Гомера «Одіссея» - видатна пам’ятка давньогрецької літератури.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C000C5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A5">
              <w:t>Еллінський театр. Походження та особливості драми. Еллінська трагедія. Творчість Софокла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«Пісня про Роланда» - видатна пам’ятка французького героїчного епосу.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«Божественна комедія» А.Данте як твір перехідної доби від Середньовіччя до Відродження.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роману М.Сервантеса «Дон Кіхот».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трагедії В.Шекспіра «Король Лір».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5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«Гамлет» В.Шекспіра – апофеоз філософського осмислення англійської дійсності доби занепаду ренесансного гуманізму.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8363" w:type="dxa"/>
            <w:gridSpan w:val="2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AC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6F2AC6" w:rsidRPr="006F2AC6" w:rsidRDefault="006F2AC6" w:rsidP="006F2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5.4. Самостійна робота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6F2AC6" w:rsidRPr="006F2AC6" w:rsidTr="000C3E18">
        <w:trPr>
          <w:trHeight w:val="510"/>
        </w:trPr>
        <w:tc>
          <w:tcPr>
            <w:tcW w:w="704" w:type="dxa"/>
            <w:vMerge w:val="restart"/>
            <w:vAlign w:val="center"/>
          </w:tcPr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6F2AC6" w:rsidRPr="006F2AC6" w:rsidTr="000C3E18">
        <w:trPr>
          <w:trHeight w:val="310"/>
        </w:trPr>
        <w:tc>
          <w:tcPr>
            <w:tcW w:w="704" w:type="dxa"/>
            <w:vMerge/>
            <w:vAlign w:val="center"/>
          </w:tcPr>
          <w:p w:rsidR="006F2AC6" w:rsidRPr="006F2AC6" w:rsidRDefault="006F2AC6" w:rsidP="006F2AC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9" w:type="dxa"/>
            <w:vMerge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заочна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Текстуальне ознайомлення з міфами Стародавньої Греції за книжкою М.Куна «Легенди та міфи Стародавньої Греції /Тернопіль, 2002/ та з поемами Гомера у порівняльному плані з біблійними переказами та казками народів світу.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 xml:space="preserve">Історія виникнення жанру байки. </w:t>
            </w: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Гесіод. «Труди і дні» /байка про Солов’я і Крука»/. Ознайомлення з творчістю Езопа. «Езопова мова» /на прикладі байок Езопа/.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Ознайомлення з тематикою і поетикою античної старогрецької лірики у порівняльному плані з пам’яткою давньоіндійської літератури «Рамаяна».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Своєрідність та новаторство творчого набутка Ціцерона /ораторське мистецтво, філософські листи/ за підручником В.І. та Н.І. Пащенко. Антична література.-К.:Либідь, 2001.-С. 550-555/.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Ознайомлення з творчістю римських поетів-елегіків Секста Проперція та Альбія Тібулла.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Роль дослідження Андрія Содомори у вивченні античних пам’яток («Дві барви часу Публія Овідія Назона // Овідій. Любовні елегії.-К.: Основа, 1999. - С.5-29).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Проблематика «Пісні про Роланда», «Пісні про мого Сіда», «Пісні про Нібелунгів»; морально-дидактична поема Вільяма Ленгленда «Видіння П’єра –Орача».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Підготувати реферат на тему «Загальна характеристика літератури народів Сходу </w:t>
            </w:r>
            <w:r w:rsidRPr="006F2AC6">
              <w:rPr>
                <w:rFonts w:ascii="Times New Roman" w:hAnsi="Times New Roman"/>
                <w:sz w:val="24"/>
                <w:szCs w:val="24"/>
              </w:rPr>
              <w:t>VIII</w:t>
            </w: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F2AC6">
              <w:rPr>
                <w:rFonts w:ascii="Times New Roman" w:hAnsi="Times New Roman"/>
                <w:sz w:val="24"/>
                <w:szCs w:val="24"/>
              </w:rPr>
              <w:t>IX</w:t>
            </w: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Алегоризм «Божественної комедії» Данте.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Ідейно-тематичне багатство роману Дж.Боккаччо «Декамерон» /тематичні групи оповідок/.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онети Франческо Петрарки із збірки «Канчоньєре» у співставленні з сонетами В.Шекспіра.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 xml:space="preserve">Анотація статті Йосипа Кобіва «Еразм Роттердамський і його сатиричне перо //Роттердамський Еразм. </w:t>
            </w: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Похвала Глупоті. К.: Основа, 1993. С.3-11.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Ознайомлення з поетичною спадщиною Франсуа Війона в українських перекладах Леоніда Первомайського.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Карнавалізм роману Франсуа Рабле «Гаргантюа і Пантагрюель».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Драматургія Лопе де Веги («Фуенте Овехуна» та «Собака на сіні»).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Жанрово-літературна основа роману Сервантеса «Дон Кіхот».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«Кентерберійські оповідання» Джеффрі Чосера та роман Томаса Мора «Утопія».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Твори В.Шекспіра раннього періоду /сонети, комедія «Сон літньої ночі»/.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>Проблематика трагедій В.Шекспіра «Отелло», «Макбет», «Гамлет».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Глибина трагедії В.Шекспіра «Король Лір», похмура комедія «Зимова казка».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AC6" w:rsidRPr="006F2AC6" w:rsidTr="000C3E18">
        <w:tc>
          <w:tcPr>
            <w:tcW w:w="704" w:type="dxa"/>
          </w:tcPr>
          <w:p w:rsidR="006F2AC6" w:rsidRPr="006F2AC6" w:rsidRDefault="006F2AC6" w:rsidP="006F2A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9" w:type="dxa"/>
          </w:tcPr>
          <w:p w:rsidR="006F2AC6" w:rsidRPr="006F2AC6" w:rsidRDefault="006F2AC6" w:rsidP="006F2A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F2AC6" w:rsidRPr="006F2AC6" w:rsidRDefault="006F2AC6" w:rsidP="006F2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2AC6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</w:tbl>
    <w:p w:rsidR="006F2AC6" w:rsidRPr="006F2AC6" w:rsidRDefault="006F2AC6" w:rsidP="006F2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>5.5. Індивідуальні завдання</w:t>
      </w: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</w:rPr>
        <w:t>Теми рефератів (до модуля 1 та 2)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Духовна поезія (літургійні гімни). Характеристика їх поетики.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Міфи, що стали мандрівними сюжетами подальшої літератури.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 Одіссея в поемах Гомера «Іліада» та «Одіссея».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«Драма сатирів» та її призначення.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«Нормативність характерів» Софокла (на прикладі будь-якої п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єси).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 Медеї в трагедіях античних авторів (за драмами Евріпіда та Сенеки).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Проблематика комедій Арістофана.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Жанровий поділ художньої прози Греції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IV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до н. е. 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ораторського мистецтва Греції: види красномовства, художні прийоми.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Вчення Платона про два світи.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Ставлення Платона до поезії та мистецтва.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Сюжетна схема грецького роману.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Філософська основа поеми Лукреція «Про природу речей».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Історичні праці Таціта.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Структура поеми «Метаморфози».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Своєрідність байок Федра.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Сатири Ювенала та Горація: подібність та відмінність.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Ідейна концепція роману Апулея «Метаморфози».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Тематика ранніх творів Горація (еподи і сатири).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Агіографія та її жанровий канон.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Епос південних слов’ян.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Художня своєрідність «Пісні про Роланда».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Порівняльна характеристика образів Роланда й Олів’</w:t>
      </w: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єра </w:t>
      </w: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в поемі «Пісні про Роланда».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Трактати Данте.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Лірика Ронсара.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Ф.Війон та його місце у французькій літературі.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Тематика сонетів в літературі Відродження (порівняльна характеристика сонетів Данте. Петрарки, Шекспіра).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Порівняльна характеристика образів Дон Кіхота та Санчо Панси в романі Сервантеса «Дон Кіхот».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Родинні проблеми Ліра та Глостера (за трагедією В.Шекспіра «Король Лір»).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Поразка чи перемога Ромео і Джульєтти в однойменній п’єсі В.Шекспіра.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Проблема помсти в трагедії В.Шекспіра «Гамлет».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Велич та падіння Макбета (за трагедією В.Шекспіра «Макбет»).</w:t>
      </w:r>
    </w:p>
    <w:p w:rsidR="006F2AC6" w:rsidRPr="006F2AC6" w:rsidRDefault="006F2AC6" w:rsidP="006F2AC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Відображення занепаду ідеалів Ренесансу в трагедії В.Шекспіра «Отелло».</w:t>
      </w:r>
    </w:p>
    <w:p w:rsidR="006F2AC6" w:rsidRPr="006F2AC6" w:rsidRDefault="006F2AC6" w:rsidP="006F2A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F2AC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Теми робіт-презентацій (до модуля 1 та 2)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Групи міфів Давньої Греції.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Відповідності між міфологічними божествами Давньої Греції та Риму.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Міфи, задіяні в «Іліаді» Гомера.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Міфи, задіяні в «Одіссеї» Гомера.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Види епосу.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Розвиток грецького театру.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Герої міфів та античних творів (Едіп, Антігона, Медея тощо).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Поезія вагантів.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Середньовічний лицарський роман та його види.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«Подвиги» Дон Кіхота (за романом М. Сервантеса «Дон Кіхот»).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Проблема помсти в трагедії В. Шекспіра «Гамлет».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Образи блазнів у творах В. Шекспіра.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Образи божевільних у творах В. Шекспіра.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Жіночі образи трагедії В. Шекспіра «Король Лір».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Жіночі образи трагедії В. Шекспіра «Гамлет».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Макбет-герой та Макбет-злочинець (за однойменною трагедією В. Шекспіра).</w:t>
      </w:r>
    </w:p>
    <w:p w:rsidR="006F2AC6" w:rsidRPr="006F2AC6" w:rsidRDefault="006F2AC6" w:rsidP="006F2A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Історія трагедії Отелло (за однойменною трагедією В. Шекспіра.)</w:t>
      </w:r>
    </w:p>
    <w:p w:rsidR="006F2AC6" w:rsidRPr="006F2AC6" w:rsidRDefault="006F2AC6" w:rsidP="006F2AC6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 xml:space="preserve">6. ІНСТРУМЕНТИ, ОБЛАДНАННЯ ТА ПРОГРАМНЕ ЗАБЕЗПЕЧЕННЯ, ВИКОРИСТАННЯ ЯКИХ ПЕРЕДБАЧАЄ НАВЧАЛЬНА ДИСЦИПЛІНА </w:t>
      </w:r>
    </w:p>
    <w:p w:rsidR="006F2AC6" w:rsidRPr="006F2AC6" w:rsidRDefault="006F2AC6" w:rsidP="006F2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2AC6" w:rsidRPr="006F2AC6" w:rsidRDefault="006F2AC6" w:rsidP="006F2AC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F2AC6">
        <w:rPr>
          <w:rFonts w:ascii="Times New Roman" w:hAnsi="Times New Roman"/>
          <w:bCs/>
          <w:sz w:val="24"/>
          <w:szCs w:val="24"/>
        </w:rPr>
        <w:t>Технічні засоби: інтерактивна дошка, комп’ютер, проектор, інтернет під’єднання, відеозаписи до тем.</w:t>
      </w:r>
    </w:p>
    <w:p w:rsidR="006F2AC6" w:rsidRPr="006F2AC6" w:rsidRDefault="006F2AC6" w:rsidP="006F2AC6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F2AC6" w:rsidRPr="006F2AC6" w:rsidRDefault="006F2AC6" w:rsidP="006F2A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AC6">
        <w:rPr>
          <w:rFonts w:ascii="Times New Roman" w:hAnsi="Times New Roman"/>
          <w:b/>
          <w:sz w:val="24"/>
          <w:szCs w:val="24"/>
        </w:rPr>
        <w:t>7. РЕКОМЕНДОВАНІ ДЖЕРЕЛА ІНФОРМАЦІЇ</w:t>
      </w:r>
    </w:p>
    <w:p w:rsidR="006F2AC6" w:rsidRPr="006F2AC6" w:rsidRDefault="006F2AC6" w:rsidP="006F2A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6F2AC6" w:rsidRPr="006F2AC6" w:rsidRDefault="006F2AC6" w:rsidP="006F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:rsidR="006F2AC6" w:rsidRPr="006F2AC6" w:rsidRDefault="006F2AC6" w:rsidP="006F2AC6">
      <w:pPr>
        <w:numPr>
          <w:ilvl w:val="0"/>
          <w:numId w:val="1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Бендзар Богдан, Бобинець Степан. Методика викладання зарубіжної літератури в загальноосвітній школі з українською мовою навчання. Ужгород: Вид-во Ужгородського національного університету, 2001.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Навчально-методичний посібник з історії зарубіжної літератури (антична література, література Середньовіччя та Відродження) для студентів факультету іноземної філології денної та заочної форми навчання / Укладач Славич Т.Я. Ужгород, 2022. 47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Рошко М.М. Методичні поради до семінарських занять із історії зарубіжної літератури середніх віків та Відродження. Ужгород: Ліра, 2015. 24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Бєлаш Г.О. Історія античної літератури. К.: Центр навчальної літератури, 2019. 236 с.</w:t>
      </w:r>
    </w:p>
    <w:p w:rsidR="006F2AC6" w:rsidRPr="006F2AC6" w:rsidRDefault="006F2AC6" w:rsidP="006F2AC6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2AC6">
        <w:rPr>
          <w:rFonts w:ascii="Times New Roman" w:eastAsia="Calibri" w:hAnsi="Times New Roman" w:cs="Times New Roman"/>
          <w:sz w:val="24"/>
          <w:szCs w:val="28"/>
        </w:rPr>
        <w:t>Безруков А. В. Історія зарубіжної літератури: від античності до початку XIX ст. : навч. посіб. для студентів філол. спец. ЗВО. Дніпро : ФОП Касян-Шаїнський, 2021. 165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Галич О.А., Дмитренко В.І., Фоменко В.Г. Історія зарубіжної літератури. Античність. Середньовіччя.  Луганськ, 2003.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hAnsi="Times New Roman" w:cs="Times New Roman"/>
          <w:sz w:val="24"/>
          <w:szCs w:val="24"/>
        </w:rPr>
        <w:t>Галич О.А., Дмитренко В. І., Фоменко В. Г., Шпетна С. А. Історія зарубіжної літератури: Античність. Середньовіччя. Відродження : навчально-методичний посібник. Луганськ: Янтар, 2004. 320 с.</w:t>
      </w:r>
    </w:p>
    <w:p w:rsidR="006F2AC6" w:rsidRPr="006F2AC6" w:rsidRDefault="006F2AC6" w:rsidP="006F2AC6">
      <w:pPr>
        <w:numPr>
          <w:ilvl w:val="0"/>
          <w:numId w:val="11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  <w:lang w:val="ru-RU"/>
        </w:rPr>
        <w:t>Галич О., Назарець В., Васильєв Є. Теорія літератури.  К.: Либідь,2008. 488 с.</w:t>
      </w:r>
    </w:p>
    <w:p w:rsidR="006F2AC6" w:rsidRPr="006F2AC6" w:rsidRDefault="006F2AC6" w:rsidP="006F2AC6">
      <w:pPr>
        <w:numPr>
          <w:ilvl w:val="0"/>
          <w:numId w:val="11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lastRenderedPageBreak/>
        <w:t>Галич О.А. Історія літературознавства : підручник. К.: Либідь, 2013. 392 с.</w:t>
      </w:r>
    </w:p>
    <w:p w:rsidR="006F2AC6" w:rsidRPr="006F2AC6" w:rsidRDefault="006F2AC6" w:rsidP="006F2AC6">
      <w:pPr>
        <w:numPr>
          <w:ilvl w:val="0"/>
          <w:numId w:val="11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sz w:val="24"/>
          <w:szCs w:val="24"/>
        </w:rPr>
        <w:t>Галич О.А. Вступ до літературознавства : підручник. Львів: Видавництво Львівської політехніки, 2017. 324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Гальчук Оксана. Антична література: Навчальний посібник для студентів заочної форми навчання.  К.: Вид-во Київського славістичного університету, 2008.  210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Давиденко Г.Й. Історія західноєвропейської літератури раннього та зрілого Середньовіччя.  Суми: Університетська книга, 2006.  261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Давиденко Г.Й., Акуленко В.Л. Історія зарубіжної літератури середніх віків та доби Відродження. Київ: Центр учбової літератури, 2007. 248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Зарубіжна література ранніх епох: Античність. Середні віки. Відродження: Навч. посібник для студентів педінститутів/ Прокаєв Ф.І., Кучинський Б.В., Булаховська Ю.Л., Долганов І.В. Київ: Вища школа, 2002. 402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Кирилюк З.В. Література Середньовіччя.  Харків, 2008. 176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Коршунова С.І. Антична література:</w:t>
      </w:r>
      <w:r w:rsidRPr="006F2AC6">
        <w:rPr>
          <w:rFonts w:ascii="Times New Roman" w:eastAsia="Calibri" w:hAnsi="Times New Roman" w:cs="Times New Roman"/>
          <w:sz w:val="24"/>
          <w:szCs w:val="24"/>
        </w:rPr>
        <w:t xml:space="preserve"> навчально-методичний посібник для практичних занять / С. І. Коршунова, О. В. Тереховська; МОН України, Прикарпатський національний університет ім. В. Стефаника. Вид. 2-ге, допов.  Івано-Франківськ: Третяк І. Я., 2007.  108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Мегела І.П.</w:t>
      </w:r>
      <w:r w:rsidRPr="006F2AC6">
        <w:rPr>
          <w:rFonts w:ascii="Times New Roman" w:eastAsia="Calibri" w:hAnsi="Times New Roman" w:cs="Times New Roman"/>
          <w:sz w:val="24"/>
          <w:szCs w:val="24"/>
        </w:rPr>
        <w:t xml:space="preserve"> Історія давньогрецької літератури: курс лекцій.  Київ, 2010.  340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Мегела І.П. Історія Римської літератури: курс лекцій.  Київ, 2012.  356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Мегела І.П. Історія Римської літератури: монографія.  Миколаїв: Видавництво ЧДУ ім.Петра Могили, 2009.  320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Михед Т.В., Якубіна Ю.В. Антична література. Греція. Рим. Хрестоматія.  К., 2006. 952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Пащенко В.І., Пащенко Н.І. Антична література.  К.: Либідь, 2008.  718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Содомора Андрій. Дві барви часу Публія Овідія Назона // Овіді</w:t>
      </w: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й. Любовні елегії.  К.: Основа, 1999.  С.5-29.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Ференц Н.С. Основи літературознавства: Підручник.  К.: Знання, 2011.  431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Шалагінов Б. Зарубіжна література від античності до початку ХІХ сторіччя.  К., 2013. 368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Шаповалова М.С., Рубанова Г.Л., Моторний В.А. Історія зарубіжної літератури (Середні віки та Відродження).  Львів: Світ, 1993.  311 с.</w:t>
      </w:r>
    </w:p>
    <w:p w:rsidR="006F2AC6" w:rsidRPr="006F2AC6" w:rsidRDefault="006F2AC6" w:rsidP="006F2AC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</w:rPr>
        <w:t>Яременко Н. В. Історія зарубіжної літератури. Епоха Середніх віків та Відродження: навчальний посібник. Кривий Ріг, 2012. 184 с.</w:t>
      </w:r>
    </w:p>
    <w:p w:rsidR="006F2AC6" w:rsidRPr="006F2AC6" w:rsidRDefault="006F2AC6" w:rsidP="006F2AC6">
      <w:pPr>
        <w:tabs>
          <w:tab w:val="left" w:pos="2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F2AC6" w:rsidRPr="006F2AC6" w:rsidRDefault="006F2AC6" w:rsidP="006F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6F2A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Допоміжна література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Анікст О. Діалектика Гамлета // Зарубіжна література.  2006.  № 6 (454).  С. 12 – 22.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Архілох. Хліб на списі: Фраґменти віршів / переклад з давньогрецької, передмова, коментарі Андрія Содомори. Львів: ЛА «Піраміда», 2014. 196 с.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Бедрик Ю. Версії «чотиривірша» Війона // Зарубіжна література. 2001. № 37 (245).  С.2. 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Бендзар Богдан, Бобинець Степан. Українська фонографічна передача антропонімів античної, англо- німецько-і франкомовної літератур. Ужгород: Закарпаття, 2000. 176 с.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Бершадська Н. Сонети Шекспіра та їх переклади // Зарубіжна література.  2001.  № 39 (247).  С. 2 – 7.</w:t>
      </w:r>
    </w:p>
    <w:p w:rsidR="006F2AC6" w:rsidRPr="006F2AC6" w:rsidRDefault="006F2AC6" w:rsidP="006F2AC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Відлуння золотого віку: Антологія пізньої латинської поезії в перекладах Андрія Содомори / Упорядник Маркіян Домбровський. Львів: ЛА «Піраміда», 2011. 296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Вороніна Л. Сонети Петрарки і Шекспіра // Зарубіжна література.  2004.  № 41.  С. 21.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Гончарук Т. Поняття про «вічний образ». Зображення подвигів Дон Кіхота // Зарубіжна література.  2005.  № 40.  С. 13.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Даньшина Л.І. «Благословенні будьте серця рани…» Лірика Франческо Петрарки // Всесвітня література і культура.  2004.  № 4.  С. 30 – 32.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Дітькова С.Ю. Біблійні алюзії в трагедії В.Шекспіра «Гамлет» // Зарубіжна література.  2004.  № 5.  С. 10 – 17.</w:t>
      </w:r>
    </w:p>
    <w:p w:rsidR="006F2AC6" w:rsidRPr="006F2AC6" w:rsidRDefault="006F2AC6" w:rsidP="006F2AC6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Cs/>
          <w:sz w:val="24"/>
        </w:rPr>
      </w:pPr>
      <w:r w:rsidRPr="006F2AC6">
        <w:rPr>
          <w:rFonts w:ascii="Times New Roman" w:eastAsia="Times New Roman" w:hAnsi="Times New Roman" w:cs="Times New Roman"/>
          <w:sz w:val="24"/>
        </w:rPr>
        <w:t xml:space="preserve">Зарубіжна література: від античності до початку </w:t>
      </w:r>
      <w:r w:rsidRPr="006F2AC6">
        <w:rPr>
          <w:rFonts w:ascii="Times New Roman" w:eastAsia="Times New Roman" w:hAnsi="Times New Roman" w:cs="Times New Roman"/>
          <w:sz w:val="24"/>
          <w:lang w:val="en-US"/>
        </w:rPr>
        <w:t>XIX</w:t>
      </w:r>
      <w:r w:rsidRPr="006F2AC6">
        <w:rPr>
          <w:rFonts w:ascii="Times New Roman" w:eastAsia="Times New Roman" w:hAnsi="Times New Roman" w:cs="Times New Roman"/>
          <w:sz w:val="24"/>
        </w:rPr>
        <w:t xml:space="preserve"> ст.: історико-естетичний нарис : навчальний посібник для студентів вищих навчальних закладів / [рец.: Чирков О. С., </w:t>
      </w:r>
      <w:r w:rsidRPr="006F2AC6">
        <w:rPr>
          <w:rFonts w:ascii="Times New Roman" w:eastAsia="Times New Roman" w:hAnsi="Times New Roman" w:cs="Times New Roman"/>
          <w:sz w:val="24"/>
        </w:rPr>
        <w:lastRenderedPageBreak/>
        <w:t>Охріменко О. П. ; Нац. ун-т «Києво-Могилян. акад.»]. Київ : ВД «Києво-Могилян. акад.», 2013. 366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Зарубіжні письменники. Енциклопедичний довідник. У 2 т. Т.1: А-К / За ред. Н.Михальської та Б.Щавурського. Тернопіль: Навчальна книга – Богдан, 2005. 824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Зарубіжні письменники. Енциклопедичний довідник. У 2 т. Т.2: Л-Я / За ред. Н.Михальської та Б.Щавурського. Тернопіль: Навчальна книга – Богдан, 2006. 864 с.</w:t>
      </w:r>
    </w:p>
    <w:p w:rsidR="006F2AC6" w:rsidRPr="006F2AC6" w:rsidRDefault="006F2AC6" w:rsidP="006F2AC6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6F2AC6">
        <w:rPr>
          <w:rFonts w:ascii="Times New Roman" w:eastAsia="Times New Roman" w:hAnsi="Times New Roman" w:cs="Times New Roman"/>
          <w:sz w:val="24"/>
        </w:rPr>
        <w:t>Історія зарубіжної літератури середньовіччя, доби Відродження, Х</w:t>
      </w:r>
      <w:r w:rsidRPr="006F2AC6">
        <w:rPr>
          <w:rFonts w:ascii="Times New Roman" w:eastAsia="Times New Roman" w:hAnsi="Times New Roman" w:cs="Times New Roman"/>
          <w:sz w:val="24"/>
          <w:lang w:val="en-US"/>
        </w:rPr>
        <w:t>VII</w:t>
      </w:r>
      <w:r w:rsidRPr="006F2AC6">
        <w:rPr>
          <w:rFonts w:ascii="Times New Roman" w:eastAsia="Times New Roman" w:hAnsi="Times New Roman" w:cs="Times New Roman"/>
          <w:sz w:val="24"/>
        </w:rPr>
        <w:t>–Х</w:t>
      </w:r>
      <w:r w:rsidRPr="006F2AC6">
        <w:rPr>
          <w:rFonts w:ascii="Times New Roman" w:eastAsia="Times New Roman" w:hAnsi="Times New Roman" w:cs="Times New Roman"/>
          <w:sz w:val="24"/>
          <w:lang w:val="en-US"/>
        </w:rPr>
        <w:t>VIII</w:t>
      </w:r>
      <w:r w:rsidRPr="006F2AC6">
        <w:rPr>
          <w:rFonts w:ascii="Times New Roman" w:eastAsia="Times New Roman" w:hAnsi="Times New Roman" w:cs="Times New Roman"/>
          <w:sz w:val="24"/>
        </w:rPr>
        <w:t xml:space="preserve"> ст.: Прогр. та навч.-методич. матеріали до курсу для студентів напряму «Культурологія» / Харк. держ. акад. культури; Укладач: Н. М. Сімейкіна. Х.: ХДАК, 2009. 50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F2AC6">
        <w:rPr>
          <w:rFonts w:ascii="Times New Roman" w:eastAsia="Times New Roman" w:hAnsi="Times New Roman" w:cs="Times New Roman"/>
          <w:sz w:val="24"/>
          <w:lang w:val="ru-RU" w:eastAsia="uk-UA"/>
        </w:rPr>
        <w:t>Кирилюк З. В. Зарубіжна література. Античність. Середньовіччя. Відродження. Бароко. Класицизм: Посібник для вчителя.  Тернопіль: Астон, 2002. 259 с.</w:t>
      </w:r>
    </w:p>
    <w:p w:rsidR="006F2AC6" w:rsidRPr="006F2AC6" w:rsidRDefault="006F2AC6" w:rsidP="006F2AC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Кобів Йосип. Еразм Роттердамський і його сатиричне перо // Роттердамський Еразм. Похвала Глупоті.  К.: Основа, 1993.  С.3 -11.</w:t>
      </w:r>
    </w:p>
    <w:p w:rsidR="006F2AC6" w:rsidRPr="006F2AC6" w:rsidRDefault="006F2AC6" w:rsidP="006F2AC6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eastAsia="ru-RU"/>
        </w:rPr>
        <w:t>Кун М. Легенди та міфи Стародавньої Греції.  Тернопіль, 2002.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Літературознавчий словник-довідник / За ред.Р.Т.Гром’яка, І.Ю.Коваліва, В.І.Теремка. К.: ВЦ «Академія» 2007. 752 с. 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Мегела І.П. У світі вічних образів. Статті, лекції, відгуки. К.: Видавець Карпенко В.М., 2008. 392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Мойсеїв І. Код двійки у перекладі «Дон Кіхота» Миколою </w:t>
      </w:r>
      <w:r w:rsidRPr="006F2AC6">
        <w:rPr>
          <w:rFonts w:ascii="Times New Roman" w:eastAsia="Calibri" w:hAnsi="Times New Roman" w:cs="Times New Roman"/>
          <w:sz w:val="24"/>
          <w:szCs w:val="24"/>
        </w:rPr>
        <w:t>Лукашем // Зарубіжна література.  2001.  № 41 (249).  С. 4 – 5.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Назарець В.М. «Підсолоджена» досконалість Пантаґрюеля і «гіркувата» буфонада Панурга. Франсуа Рабле: епоха, роман, образи // Всесвітня література та культура.  2004.  № 2.  С. 16 – 20.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Новікова М. Міфосвіт «Макбета»: володарі і відьми // Зарубіжна література.  2004.  № 41.  С. 18 – 20.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Первомайський Л. Клубок суперечностей на ім’я Війон // Зарубіжна література.  2001.  № 37 (245).  С. 1 – 2.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Петрушенко В.Л. Філософія.  Львів: </w:t>
      </w:r>
      <w:r w:rsidRPr="006F2AC6">
        <w:rPr>
          <w:rFonts w:ascii="Times New Roman" w:eastAsia="Calibri" w:hAnsi="Times New Roman"/>
          <w:sz w:val="24"/>
          <w:szCs w:val="24"/>
          <w:lang w:val="ru-RU"/>
        </w:rPr>
        <w:t xml:space="preserve">Новий світ - 2000, 2012. 647 с. 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Рашутняк О. Мандри Дон Кіхота // Зарубіжна література.  2005.  № 40.  С. 3 – 5.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Сапфо. Пісні з Лесбосу / З давньогрецької переклав Андрій Содомора. Львів: ЛА «Піраміда», 2012. 140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Теогнід. Елегії вигнанця / З давньогрецької переклав Андрій Содомора. Львів: ЛА «Піраміда», 2012. 112 с.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Шалагінов Б.Б. Відродження в Англії. Шекспір // Всесвітня література та культура.  2003.  № 9.  С. 48 – 56.</w:t>
      </w:r>
    </w:p>
    <w:p w:rsidR="006F2AC6" w:rsidRPr="006F2AC6" w:rsidRDefault="006F2AC6" w:rsidP="006F2AC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2AC6">
        <w:rPr>
          <w:rFonts w:ascii="Times New Roman" w:eastAsia="Calibri" w:hAnsi="Times New Roman" w:cs="Times New Roman"/>
          <w:sz w:val="24"/>
          <w:szCs w:val="24"/>
          <w:lang w:val="ru-RU"/>
        </w:rPr>
        <w:t>Щавурський Б.Б. Європейське середньовіччя: літературний флорілеґіум. Тернопіль: навчальна книга – Богдан, 2020. 944 с.</w:t>
      </w:r>
    </w:p>
    <w:p w:rsidR="006F2AC6" w:rsidRPr="006F2AC6" w:rsidRDefault="006F2AC6" w:rsidP="006F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0C5" w:rsidRPr="00BD692A" w:rsidRDefault="00C000C5" w:rsidP="00C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Інформаційні ресурси в мережі Інтернет </w:t>
      </w:r>
    </w:p>
    <w:p w:rsidR="00C000C5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  <w:t xml:space="preserve">Художні тексти обовязкові для прочитання: </w:t>
      </w:r>
    </w:p>
    <w:p w:rsidR="00C000C5" w:rsidRDefault="00B7579D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hyperlink r:id="rId5" w:history="1">
        <w:r w:rsidR="00C000C5"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ru-RU" w:eastAsia="ru-RU"/>
          </w:rPr>
          <w:t>https://drive.google.com/drive/folders/1rNlmK1NEtJC2cLl49lj5BQaytUwW1GZ5</w:t>
        </w:r>
      </w:hyperlink>
    </w:p>
    <w:p w:rsidR="00C000C5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</w:p>
    <w:p w:rsidR="00C000C5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  <w:t xml:space="preserve">Підручники: </w:t>
      </w:r>
      <w:hyperlink r:id="rId6" w:history="1">
        <w:r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ru-RU" w:eastAsia="ru-RU"/>
          </w:rPr>
          <w:t>https://drive.google.com/drive/folders/1WSDL2HnOfg6TRehVyXmmIpndMvnIm3pU</w:t>
        </w:r>
      </w:hyperlink>
    </w:p>
    <w:p w:rsidR="00C000C5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</w:pPr>
      <w:r w:rsidRPr="00BD692A">
        <w:rPr>
          <w:rFonts w:ascii="Times New Roman" w:hAnsi="Times New Roman" w:cs="Times New Roman"/>
          <w:b/>
          <w:sz w:val="24"/>
          <w:szCs w:val="24"/>
        </w:rPr>
        <w:t xml:space="preserve">Платформа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BD692A">
        <w:rPr>
          <w:rFonts w:ascii="Times New Roman" w:hAnsi="Times New Roman" w:cs="Times New Roman"/>
          <w:b/>
          <w:sz w:val="24"/>
          <w:szCs w:val="24"/>
        </w:rPr>
        <w:t>: курс «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BD692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4699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  <w:t xml:space="preserve">   </w:t>
      </w:r>
      <w:hyperlink r:id="rId7" w:history="1">
        <w:r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en-US" w:eastAsia="ru-RU"/>
          </w:rPr>
          <w:t>https://www.coursera.org/learn/mythology</w:t>
        </w:r>
      </w:hyperlink>
    </w:p>
    <w:p w:rsidR="00C000C5" w:rsidRPr="0034699B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</w:pPr>
    </w:p>
    <w:p w:rsidR="00C000C5" w:rsidRPr="00BD692A" w:rsidRDefault="00C000C5" w:rsidP="00C000C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92A">
        <w:rPr>
          <w:rFonts w:ascii="Times New Roman" w:hAnsi="Times New Roman"/>
          <w:b/>
          <w:sz w:val="24"/>
          <w:szCs w:val="24"/>
        </w:rPr>
        <w:t>Художня література до курсу (обов’язково до опрацювання):</w:t>
      </w:r>
    </w:p>
    <w:p w:rsidR="00C000C5" w:rsidRPr="00BD692A" w:rsidRDefault="00C000C5" w:rsidP="00C000C5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античний період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</w:t>
      </w:r>
    </w:p>
    <w:p w:rsidR="00C000C5" w:rsidRDefault="00C000C5" w:rsidP="00C000C5">
      <w:pPr>
        <w:ind w:left="150"/>
        <w:jc w:val="center"/>
      </w:pPr>
      <w:r>
        <w:rPr>
          <w:b/>
        </w:rPr>
        <w:t xml:space="preserve">Художні твори </w:t>
      </w:r>
      <w:r>
        <w:rPr>
          <w:b/>
          <w:u w:val="single"/>
        </w:rPr>
        <w:t>античного періоду</w:t>
      </w:r>
      <w:r>
        <w:rPr>
          <w:b/>
          <w:u w:val="single"/>
          <w:lang w:val="ru-RU"/>
        </w:rPr>
        <w:t xml:space="preserve"> </w:t>
      </w:r>
      <w:r>
        <w:rPr>
          <w:lang w:val="ru-RU"/>
        </w:rPr>
        <w:t xml:space="preserve">  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Грецькі міфи.</w:t>
      </w:r>
      <w:r w:rsidRPr="0034699B">
        <w:rPr>
          <w:rFonts w:ascii="Times New Roman" w:hAnsi="Times New Roman" w:cs="Times New Roman"/>
          <w:lang w:val="en-US"/>
        </w:rPr>
        <w:t xml:space="preserve">  2-3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Гомер.    </w:t>
      </w:r>
      <w:r w:rsidRPr="0034699B">
        <w:rPr>
          <w:rFonts w:ascii="Times New Roman" w:hAnsi="Times New Roman" w:cs="Times New Roman"/>
        </w:rPr>
        <w:tab/>
        <w:t>Іліада. / Одіссея. (одну з пісень)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Гесіод.    </w:t>
      </w:r>
      <w:r w:rsidRPr="0034699B">
        <w:rPr>
          <w:rFonts w:ascii="Times New Roman" w:hAnsi="Times New Roman" w:cs="Times New Roman"/>
        </w:rPr>
        <w:tab/>
        <w:t xml:space="preserve">Труди і дні.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Есхіл.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Прометей закутий.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Софокл.</w:t>
      </w:r>
      <w:r w:rsidRPr="0034699B">
        <w:rPr>
          <w:rFonts w:ascii="Times New Roman" w:hAnsi="Times New Roman" w:cs="Times New Roman"/>
        </w:rPr>
        <w:tab/>
        <w:t>Цар Едіп.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Евріпід.</w:t>
      </w:r>
      <w:r w:rsidRPr="0034699B">
        <w:rPr>
          <w:rFonts w:ascii="Times New Roman" w:hAnsi="Times New Roman" w:cs="Times New Roman"/>
        </w:rPr>
        <w:tab/>
        <w:t xml:space="preserve">Медея.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lastRenderedPageBreak/>
        <w:t xml:space="preserve">Арістофан.    Жаби.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Арістотель.    Поетика (Переглянути) 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Вергілій.      Енеїда. (одну з книг)</w:t>
      </w:r>
    </w:p>
    <w:p w:rsidR="00C000C5" w:rsidRPr="0034699B" w:rsidRDefault="00C000C5" w:rsidP="00C000C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Езоп.             Байки. </w:t>
      </w:r>
      <w:r w:rsidRPr="0034699B">
        <w:rPr>
          <w:rFonts w:ascii="Times New Roman" w:hAnsi="Times New Roman" w:cs="Times New Roman"/>
          <w:lang w:val="en-US"/>
        </w:rPr>
        <w:t xml:space="preserve"> 2-3    </w:t>
      </w:r>
    </w:p>
    <w:p w:rsidR="00C000C5" w:rsidRPr="0034699B" w:rsidRDefault="00C000C5" w:rsidP="00C000C5">
      <w:pPr>
        <w:rPr>
          <w:rFonts w:ascii="Times New Roman" w:hAnsi="Times New Roman" w:cs="Times New Roman"/>
        </w:rPr>
      </w:pPr>
    </w:p>
    <w:p w:rsidR="00C000C5" w:rsidRPr="0034699B" w:rsidRDefault="00C000C5" w:rsidP="00C000C5">
      <w:pPr>
        <w:rPr>
          <w:rFonts w:ascii="Times New Roman" w:hAnsi="Times New Roman" w:cs="Times New Roman"/>
          <w:b/>
          <w:lang w:val="en-US"/>
        </w:rPr>
      </w:pPr>
    </w:p>
    <w:p w:rsidR="00C000C5" w:rsidRPr="0034699B" w:rsidRDefault="00C000C5" w:rsidP="00C000C5">
      <w:pPr>
        <w:jc w:val="center"/>
        <w:rPr>
          <w:rFonts w:ascii="Times New Roman" w:hAnsi="Times New Roman" w:cs="Times New Roman"/>
          <w:b/>
        </w:rPr>
      </w:pPr>
      <w:r w:rsidRPr="0034699B">
        <w:rPr>
          <w:rFonts w:ascii="Times New Roman" w:hAnsi="Times New Roman" w:cs="Times New Roman"/>
          <w:b/>
        </w:rPr>
        <w:t xml:space="preserve">Художні твори </w:t>
      </w:r>
      <w:r w:rsidRPr="0034699B">
        <w:rPr>
          <w:rFonts w:ascii="Times New Roman" w:hAnsi="Times New Roman" w:cs="Times New Roman"/>
          <w:b/>
          <w:u w:val="single"/>
        </w:rPr>
        <w:t>Середньовіччя і Відродження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Пісня про Беовульфа / Пісня про Роланда / Пісня про мого Сіда / Поема про Нібелунгів. 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Чосер Дж.             Кентерберійські оповідання.</w:t>
      </w:r>
      <w:r w:rsidRPr="0034699B">
        <w:rPr>
          <w:rFonts w:ascii="Times New Roman" w:hAnsi="Times New Roman" w:cs="Times New Roman"/>
          <w:lang w:val="en-US"/>
        </w:rPr>
        <w:t xml:space="preserve"> 2-3 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Данте А.                Божественна комедія.</w:t>
      </w:r>
      <w:r w:rsidRPr="0034699B">
        <w:rPr>
          <w:rFonts w:ascii="Times New Roman" w:hAnsi="Times New Roman" w:cs="Times New Roman"/>
          <w:lang w:val="ru-RU"/>
        </w:rPr>
        <w:t xml:space="preserve">  </w:t>
      </w:r>
      <w:r w:rsidRPr="0034699B">
        <w:rPr>
          <w:rFonts w:ascii="Times New Roman" w:hAnsi="Times New Roman" w:cs="Times New Roman"/>
          <w:lang w:val="en-US"/>
        </w:rPr>
        <w:t xml:space="preserve">1  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Петрарка Ф. 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Книга пісень.</w:t>
      </w:r>
      <w:r w:rsidRPr="0034699B">
        <w:rPr>
          <w:rFonts w:ascii="Times New Roman" w:hAnsi="Times New Roman" w:cs="Times New Roman"/>
          <w:lang w:val="ru-RU"/>
        </w:rPr>
        <w:t xml:space="preserve">  2-3      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Боккаччо Дж.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Декамерон.</w:t>
      </w:r>
      <w:r w:rsidRPr="0034699B">
        <w:rPr>
          <w:rFonts w:ascii="Times New Roman" w:hAnsi="Times New Roman" w:cs="Times New Roman"/>
          <w:lang w:val="ru-RU"/>
        </w:rPr>
        <w:t xml:space="preserve">  2-3   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Брант С.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         Корабель дурнів.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Роттердамський Е.        Похвала Глупоті.</w:t>
      </w:r>
      <w:r w:rsidRPr="0034699B">
        <w:rPr>
          <w:rFonts w:ascii="Times New Roman" w:hAnsi="Times New Roman" w:cs="Times New Roman"/>
          <w:lang w:val="ru-RU"/>
        </w:rPr>
        <w:t xml:space="preserve">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Рабле Ф.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          Ґарґантюа і Пантаґрюель. </w:t>
      </w:r>
    </w:p>
    <w:p w:rsidR="00C000C5" w:rsidRPr="0034699B" w:rsidRDefault="00C000C5" w:rsidP="00C000C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Сервантес М.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Дон Кіхот.</w:t>
      </w:r>
    </w:p>
    <w:p w:rsidR="00C000C5" w:rsidRPr="0034699B" w:rsidRDefault="00C000C5" w:rsidP="00C000C5">
      <w:pPr>
        <w:pStyle w:val="a8"/>
        <w:numPr>
          <w:ilvl w:val="0"/>
          <w:numId w:val="26"/>
        </w:numPr>
        <w:spacing w:after="0" w:line="240" w:lineRule="auto"/>
        <w:rPr>
          <w:rFonts w:ascii="Times New Roman" w:hAnsi="Times New Roman"/>
          <w:lang w:val="ru-RU"/>
        </w:rPr>
      </w:pPr>
      <w:r w:rsidRPr="0034699B">
        <w:rPr>
          <w:rFonts w:ascii="Times New Roman" w:hAnsi="Times New Roman"/>
          <w:lang w:val="ru-RU"/>
        </w:rPr>
        <w:t xml:space="preserve">Шекспір В.           Сонети.  (2-3) Ромео і Джульєтта. Гамлет. Король Лір. Сон літньої ночі. </w:t>
      </w:r>
    </w:p>
    <w:p w:rsidR="00C000C5" w:rsidRPr="0034699B" w:rsidRDefault="00C000C5" w:rsidP="00C000C5">
      <w:pPr>
        <w:rPr>
          <w:rFonts w:ascii="Times New Roman" w:hAnsi="Times New Roman" w:cs="Times New Roman"/>
          <w:b/>
          <w:lang w:val="ru-RU"/>
        </w:rPr>
      </w:pPr>
    </w:p>
    <w:p w:rsidR="00C000C5" w:rsidRPr="0034699B" w:rsidRDefault="00C000C5" w:rsidP="00C000C5">
      <w:pPr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А) Твори, подані через   /  - читаються на вибір.</w:t>
      </w:r>
    </w:p>
    <w:p w:rsidR="00C000C5" w:rsidRPr="0034699B" w:rsidRDefault="00C000C5" w:rsidP="00C000C5">
      <w:pPr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Б) Цифри біля текстів означають кількість віршів / оповідань / новел, що треба прочитати, довільно обравши із цілого твору.</w:t>
      </w:r>
    </w:p>
    <w:p w:rsidR="005346BD" w:rsidRDefault="005346BD" w:rsidP="00C000C5">
      <w:pPr>
        <w:spacing w:after="0" w:line="240" w:lineRule="auto"/>
        <w:contextualSpacing/>
        <w:jc w:val="center"/>
      </w:pPr>
    </w:p>
    <w:sectPr w:rsidR="005346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7F0"/>
    <w:multiLevelType w:val="hybridMultilevel"/>
    <w:tmpl w:val="CFB83BC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941"/>
    <w:multiLevelType w:val="hybridMultilevel"/>
    <w:tmpl w:val="4B4AD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44A8"/>
    <w:multiLevelType w:val="hybridMultilevel"/>
    <w:tmpl w:val="BCE2C0FE"/>
    <w:lvl w:ilvl="0" w:tplc="BAFE33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144237"/>
    <w:multiLevelType w:val="hybridMultilevel"/>
    <w:tmpl w:val="FCBED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5DEB"/>
    <w:multiLevelType w:val="hybridMultilevel"/>
    <w:tmpl w:val="8E283E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A59D7"/>
    <w:multiLevelType w:val="hybridMultilevel"/>
    <w:tmpl w:val="FE080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835FF"/>
    <w:multiLevelType w:val="hybridMultilevel"/>
    <w:tmpl w:val="C4360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A2D"/>
    <w:multiLevelType w:val="hybridMultilevel"/>
    <w:tmpl w:val="89F03AF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44D2"/>
    <w:multiLevelType w:val="hybridMultilevel"/>
    <w:tmpl w:val="90465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2110"/>
    <w:multiLevelType w:val="hybridMultilevel"/>
    <w:tmpl w:val="20D26D12"/>
    <w:lvl w:ilvl="0" w:tplc="725252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60B624E"/>
    <w:multiLevelType w:val="hybridMultilevel"/>
    <w:tmpl w:val="E59AC7A6"/>
    <w:lvl w:ilvl="0" w:tplc="042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F2B23"/>
    <w:multiLevelType w:val="hybridMultilevel"/>
    <w:tmpl w:val="7168301C"/>
    <w:lvl w:ilvl="0" w:tplc="1E8A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913A0"/>
    <w:multiLevelType w:val="hybridMultilevel"/>
    <w:tmpl w:val="4F0E2B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03996"/>
    <w:multiLevelType w:val="hybridMultilevel"/>
    <w:tmpl w:val="16BC6A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93C87"/>
    <w:multiLevelType w:val="hybridMultilevel"/>
    <w:tmpl w:val="E62CBB6C"/>
    <w:lvl w:ilvl="0" w:tplc="896423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6A906392"/>
    <w:multiLevelType w:val="hybridMultilevel"/>
    <w:tmpl w:val="D8560F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5E6D"/>
    <w:multiLevelType w:val="hybridMultilevel"/>
    <w:tmpl w:val="D30E48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F5610"/>
    <w:multiLevelType w:val="hybridMultilevel"/>
    <w:tmpl w:val="3F9EE146"/>
    <w:lvl w:ilvl="0" w:tplc="4538C2A2">
      <w:start w:val="1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D5633"/>
    <w:multiLevelType w:val="hybridMultilevel"/>
    <w:tmpl w:val="2206B4E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9F9"/>
    <w:multiLevelType w:val="hybridMultilevel"/>
    <w:tmpl w:val="CED41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931C5"/>
    <w:multiLevelType w:val="hybridMultilevel"/>
    <w:tmpl w:val="B54A8056"/>
    <w:lvl w:ilvl="0" w:tplc="D696EE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839050D"/>
    <w:multiLevelType w:val="hybridMultilevel"/>
    <w:tmpl w:val="3CBED9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D5B2A"/>
    <w:multiLevelType w:val="hybridMultilevel"/>
    <w:tmpl w:val="591A92B6"/>
    <w:lvl w:ilvl="0" w:tplc="18503CA0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4"/>
  </w:num>
  <w:num w:numId="5">
    <w:abstractNumId w:val="6"/>
  </w:num>
  <w:num w:numId="6">
    <w:abstractNumId w:val="17"/>
  </w:num>
  <w:num w:numId="7">
    <w:abstractNumId w:val="10"/>
  </w:num>
  <w:num w:numId="8">
    <w:abstractNumId w:val="16"/>
  </w:num>
  <w:num w:numId="9">
    <w:abstractNumId w:val="18"/>
  </w:num>
  <w:num w:numId="10">
    <w:abstractNumId w:val="2"/>
  </w:num>
  <w:num w:numId="11">
    <w:abstractNumId w:val="9"/>
  </w:num>
  <w:num w:numId="12">
    <w:abstractNumId w:val="15"/>
  </w:num>
  <w:num w:numId="13">
    <w:abstractNumId w:val="5"/>
  </w:num>
  <w:num w:numId="14">
    <w:abstractNumId w:val="1"/>
  </w:num>
  <w:num w:numId="15">
    <w:abstractNumId w:val="0"/>
  </w:num>
  <w:num w:numId="16">
    <w:abstractNumId w:val="19"/>
  </w:num>
  <w:num w:numId="17">
    <w:abstractNumId w:val="8"/>
  </w:num>
  <w:num w:numId="18">
    <w:abstractNumId w:val="13"/>
  </w:num>
  <w:num w:numId="19">
    <w:abstractNumId w:val="23"/>
  </w:num>
  <w:num w:numId="20">
    <w:abstractNumId w:val="11"/>
  </w:num>
  <w:num w:numId="21">
    <w:abstractNumId w:val="22"/>
  </w:num>
  <w:num w:numId="22">
    <w:abstractNumId w:val="7"/>
  </w:num>
  <w:num w:numId="23">
    <w:abstractNumId w:val="20"/>
  </w:num>
  <w:num w:numId="24">
    <w:abstractNumId w:val="1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CC"/>
    <w:rsid w:val="00094001"/>
    <w:rsid w:val="00120ACC"/>
    <w:rsid w:val="002054DA"/>
    <w:rsid w:val="003F40E2"/>
    <w:rsid w:val="005346BD"/>
    <w:rsid w:val="006F2AC6"/>
    <w:rsid w:val="008D6D83"/>
    <w:rsid w:val="008F5C3C"/>
    <w:rsid w:val="00AD1727"/>
    <w:rsid w:val="00B166EA"/>
    <w:rsid w:val="00B7579D"/>
    <w:rsid w:val="00C000C5"/>
    <w:rsid w:val="00F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C6A6"/>
  <w15:chartTrackingRefBased/>
  <w15:docId w15:val="{BEB42757-85C0-43BE-B7DE-B47413F0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2AC6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6F2AC6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6F2AC6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qFormat/>
    <w:rsid w:val="006F2AC6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AC6"/>
    <w:pPr>
      <w:spacing w:before="240" w:after="60" w:line="240" w:lineRule="auto"/>
      <w:ind w:right="170"/>
      <w:jc w:val="both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F2A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6F2A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A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F2AC6"/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6F2AC6"/>
    <w:rPr>
      <w:rFonts w:ascii="Times New Roman" w:eastAsia="Times New Roman" w:hAnsi="Times New Roman" w:cs="Times New Roman"/>
      <w:b/>
      <w:bCs/>
      <w:sz w:val="16"/>
      <w:szCs w:val="26"/>
    </w:rPr>
  </w:style>
  <w:style w:type="character" w:customStyle="1" w:styleId="40">
    <w:name w:val="Заголовок 4 Знак"/>
    <w:basedOn w:val="a0"/>
    <w:link w:val="4"/>
    <w:rsid w:val="006F2A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2AC6"/>
    <w:rPr>
      <w:rFonts w:eastAsiaTheme="minorEastAsia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F2A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6F2A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6F2AC6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6F2AC6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6F2AC6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a4">
    <w:name w:val="Body Text"/>
    <w:basedOn w:val="a"/>
    <w:link w:val="a5"/>
    <w:qFormat/>
    <w:rsid w:val="006F2A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6">
    <w:name w:val="Основной текст Знак"/>
    <w:basedOn w:val="a0"/>
    <w:uiPriority w:val="99"/>
    <w:semiHidden/>
    <w:rsid w:val="006F2AC6"/>
  </w:style>
  <w:style w:type="character" w:customStyle="1" w:styleId="a5">
    <w:name w:val="Основний текст Знак"/>
    <w:link w:val="a4"/>
    <w:rsid w:val="006F2AC6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7">
    <w:name w:val="Strong"/>
    <w:uiPriority w:val="22"/>
    <w:qFormat/>
    <w:rsid w:val="006F2AC6"/>
    <w:rPr>
      <w:b/>
      <w:bCs/>
    </w:rPr>
  </w:style>
  <w:style w:type="paragraph" w:styleId="a8">
    <w:name w:val="List Paragraph"/>
    <w:basedOn w:val="a"/>
    <w:uiPriority w:val="34"/>
    <w:qFormat/>
    <w:rsid w:val="006F2A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9">
    <w:name w:val="Body Text Indent"/>
    <w:basedOn w:val="a"/>
    <w:link w:val="aa"/>
    <w:unhideWhenUsed/>
    <w:rsid w:val="006F2AC6"/>
    <w:pPr>
      <w:spacing w:after="120" w:line="276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aa">
    <w:name w:val="Основний текст з відступом Знак"/>
    <w:basedOn w:val="a0"/>
    <w:link w:val="a9"/>
    <w:rsid w:val="006F2AC6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6F2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6F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6F2AC6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</w:rPr>
  </w:style>
  <w:style w:type="character" w:customStyle="1" w:styleId="ae">
    <w:name w:val="Назва Знак"/>
    <w:basedOn w:val="a0"/>
    <w:link w:val="ac"/>
    <w:rsid w:val="006F2AC6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6F2AC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6F2AC6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6F2AC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6F2A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6F2AC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rsid w:val="006F2AC6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6F2AC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rsid w:val="006F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6F2A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6F2A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6F2A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6F2A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lock Text"/>
    <w:basedOn w:val="a"/>
    <w:rsid w:val="006F2AC6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2">
    <w:name w:val="Печатная машинка"/>
    <w:rsid w:val="006F2AC6"/>
    <w:rPr>
      <w:rFonts w:ascii="Courier New" w:hAnsi="Courier New"/>
      <w:sz w:val="20"/>
    </w:rPr>
  </w:style>
  <w:style w:type="paragraph" w:styleId="af3">
    <w:name w:val="footer"/>
    <w:basedOn w:val="a"/>
    <w:link w:val="af4"/>
    <w:rsid w:val="006F2AC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4">
    <w:name w:val="Нижній колонтитул Знак"/>
    <w:basedOn w:val="a0"/>
    <w:link w:val="af3"/>
    <w:rsid w:val="006F2AC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5">
    <w:name w:val="Знак"/>
    <w:basedOn w:val="a"/>
    <w:rsid w:val="006F2AC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rsid w:val="006F2A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7">
    <w:name w:val="Верхній колонтитул Знак"/>
    <w:basedOn w:val="a0"/>
    <w:link w:val="af6"/>
    <w:uiPriority w:val="99"/>
    <w:rsid w:val="006F2AC6"/>
    <w:rPr>
      <w:rFonts w:ascii="Calibri" w:eastAsia="Times New Roman" w:hAnsi="Calibri" w:cs="Times New Roman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6F2AC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6F2AC6"/>
    <w:rPr>
      <w:rFonts w:ascii="Calibri" w:eastAsia="Times New Roman" w:hAnsi="Calibri" w:cs="Times New Roman"/>
      <w:sz w:val="20"/>
      <w:szCs w:val="20"/>
      <w:lang w:val="en-US"/>
    </w:rPr>
  </w:style>
  <w:style w:type="character" w:styleId="afa">
    <w:name w:val="endnote reference"/>
    <w:basedOn w:val="a0"/>
    <w:uiPriority w:val="99"/>
    <w:semiHidden/>
    <w:unhideWhenUsed/>
    <w:rsid w:val="006F2AC6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6F2AC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c">
    <w:name w:val="Текст виноски Знак"/>
    <w:basedOn w:val="a0"/>
    <w:link w:val="afb"/>
    <w:uiPriority w:val="99"/>
    <w:semiHidden/>
    <w:rsid w:val="006F2AC6"/>
    <w:rPr>
      <w:rFonts w:ascii="Calibri" w:eastAsia="Times New Roman" w:hAnsi="Calibri" w:cs="Times New Roman"/>
      <w:sz w:val="20"/>
      <w:szCs w:val="20"/>
      <w:lang w:val="en-US"/>
    </w:rPr>
  </w:style>
  <w:style w:type="character" w:styleId="afd">
    <w:name w:val="footnote reference"/>
    <w:basedOn w:val="a0"/>
    <w:uiPriority w:val="99"/>
    <w:semiHidden/>
    <w:unhideWhenUsed/>
    <w:rsid w:val="006F2AC6"/>
    <w:rPr>
      <w:vertAlign w:val="superscript"/>
    </w:rPr>
  </w:style>
  <w:style w:type="character" w:customStyle="1" w:styleId="rvts44">
    <w:name w:val="rvts44"/>
    <w:basedOn w:val="a0"/>
    <w:rsid w:val="006F2AC6"/>
  </w:style>
  <w:style w:type="paragraph" w:styleId="afe">
    <w:name w:val="Balloon Text"/>
    <w:basedOn w:val="a"/>
    <w:link w:val="aff"/>
    <w:uiPriority w:val="99"/>
    <w:semiHidden/>
    <w:unhideWhenUsed/>
    <w:rsid w:val="006F2AC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6F2AC6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F2AC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6F2AC6"/>
    <w:rPr>
      <w:rFonts w:ascii="Calibri" w:eastAsia="Times New Roman" w:hAnsi="Calibri" w:cs="Times New Roman"/>
      <w:sz w:val="16"/>
      <w:szCs w:val="16"/>
      <w:lang w:val="en-US"/>
    </w:rPr>
  </w:style>
  <w:style w:type="character" w:styleId="aff0">
    <w:name w:val="Hyperlink"/>
    <w:basedOn w:val="a0"/>
    <w:uiPriority w:val="99"/>
    <w:unhideWhenUsed/>
    <w:rsid w:val="00C0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myth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SDL2HnOfg6TRehVyXmmIpndMvnIm3pU" TargetMode="External"/><Relationship Id="rId5" Type="http://schemas.openxmlformats.org/officeDocument/2006/relationships/hyperlink" Target="https://drive.google.com/drive/folders/1rNlmK1NEtJC2cLl49lj5BQaytUwW1GZ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26506</Words>
  <Characters>15109</Characters>
  <Application>Microsoft Office Word</Application>
  <DocSecurity>0</DocSecurity>
  <Lines>125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5</cp:revision>
  <dcterms:created xsi:type="dcterms:W3CDTF">2025-09-04T14:36:00Z</dcterms:created>
  <dcterms:modified xsi:type="dcterms:W3CDTF">2025-09-29T16:52:00Z</dcterms:modified>
</cp:coreProperties>
</file>