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A" w:rsidRPr="006A5317" w:rsidRDefault="006A5317" w:rsidP="006A531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SYLLABUS</w:t>
      </w:r>
    </w:p>
    <w:p w:rsidR="006A5317" w:rsidRDefault="006A5317" w:rsidP="006A5317">
      <w:pPr>
        <w:rPr>
          <w:lang w:val="en-US"/>
        </w:rPr>
      </w:pPr>
    </w:p>
    <w:tbl>
      <w:tblPr>
        <w:tblW w:w="0" w:type="auto"/>
        <w:tblInd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281"/>
      </w:tblGrid>
      <w:tr w:rsidR="006A5317" w:rsidRPr="00AE0B85" w:rsidTr="00D86C08">
        <w:trPr>
          <w:trHeight w:val="553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6A5317" w:rsidRDefault="006A5317" w:rsidP="00D86C08">
            <w:pPr>
              <w:spacing w:after="0" w:line="270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Назва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6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6A5317" w:rsidRDefault="006A5317" w:rsidP="00D86C08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  <w:r w:rsidRPr="00AE0B8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ru-RU"/>
              </w:rPr>
              <w:t>ІНОЗЕМНА МОВА СПЕЦІАЛЬНОСТІ</w:t>
            </w:r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івень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вищої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Бакалаврський</w:t>
            </w:r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Кур</w:t>
            </w:r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с(</w:t>
            </w:r>
            <w:proofErr w:type="spellStart"/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3,4</w:t>
            </w:r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5, 6, 7, 8</w:t>
            </w:r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Обсяг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кредитах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17</w:t>
            </w: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кредит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ЄКТС </w:t>
            </w:r>
          </w:p>
        </w:tc>
      </w:tr>
      <w:tr w:rsidR="006A5317" w:rsidRPr="00AE0B85" w:rsidTr="00D86C08">
        <w:trPr>
          <w:trHeight w:val="276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Мова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викладання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Англ</w:t>
            </w:r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ійська</w:t>
            </w:r>
            <w:proofErr w:type="spellEnd"/>
          </w:p>
        </w:tc>
      </w:tr>
      <w:tr w:rsidR="006A5317" w:rsidRPr="00AE0B85" w:rsidTr="00D86C08">
        <w:trPr>
          <w:trHeight w:val="1379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70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Передумови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74" w:lineRule="atLeast"/>
              <w:ind w:left="9" w:right="2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</w:p>
          <w:p w:rsidR="006A5317" w:rsidRPr="00AE0B85" w:rsidRDefault="006A5317" w:rsidP="00D86C0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Передумов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спеціальності</w:t>
            </w: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) є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англійською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В1+ (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A5317" w:rsidRPr="00AE0B85" w:rsidRDefault="006A5317" w:rsidP="00D86C0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передумовами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спеціальності</w:t>
            </w: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» є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ї-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бакалаврського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291 «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регіональні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студії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»:  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ОК5.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Країнознавство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ОК10.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Цивілізації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ОК12. Політична історія світу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ОК15.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ОК16.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</w:p>
          <w:p w:rsidR="006A5317" w:rsidRPr="00AE0B85" w:rsidRDefault="006A5317" w:rsidP="00D86C08">
            <w:pPr>
              <w:spacing w:after="0" w:line="274" w:lineRule="atLeast"/>
              <w:ind w:left="9" w:right="2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6A5317" w:rsidRPr="00AE0B85" w:rsidTr="00D86C08">
        <w:trPr>
          <w:trHeight w:val="553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70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Кафедра, яка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викладання</w:t>
            </w:r>
            <w:proofErr w:type="spellEnd"/>
          </w:p>
          <w:p w:rsidR="006A5317" w:rsidRPr="00AE0B85" w:rsidRDefault="006A5317" w:rsidP="00D86C08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64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полікультурної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перекладу</w:t>
            </w:r>
          </w:p>
        </w:tc>
      </w:tr>
      <w:tr w:rsidR="006A5317" w:rsidRPr="00AE0B85" w:rsidTr="00D86C08">
        <w:trPr>
          <w:trHeight w:val="551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68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uppressAutoHyphens/>
              <w:ind w:right="13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AE0B8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Офіційний Веб-сайт </w:t>
            </w:r>
            <w:hyperlink r:id="rId6" w:history="1"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http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 w:color="0066CC"/>
                  <w:lang w:val="de-DE"/>
                </w:rPr>
                <w:t>://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www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 w:color="0066CC"/>
                  <w:lang w:val="uk-UA"/>
                </w:rPr>
                <w:t>.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uzhnu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 w:color="0066CC"/>
                  <w:lang w:val="uk-UA"/>
                </w:rPr>
                <w:t>.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edu</w:t>
              </w:r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 w:color="0066CC"/>
                  <w:lang w:val="uk-UA"/>
                </w:rPr>
                <w:t>.</w:t>
              </w:r>
              <w:proofErr w:type="spellStart"/>
              <w:r w:rsidRPr="00AE0B85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ua</w:t>
              </w:r>
              <w:proofErr w:type="spellEnd"/>
            </w:hyperlink>
            <w:r w:rsidRPr="00AE0B8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Необмежений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 до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каталогів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ДВНЗ «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», 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зитарію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ДВНЗ «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7" w:history="1">
              <w:r w:rsidRPr="00AE0B85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https://dspace.uzhnu.edu.ua/jspui/</w:t>
              </w:r>
            </w:hyperlink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) де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плану;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читальні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Віртуальне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сайт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e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-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learn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uzhnu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edu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Pr="00AE0B85">
                <w:rPr>
                  <w:rFonts w:ascii="Times New Roman" w:hAnsi="Times New Roman" w:cs="Times New Roman"/>
                  <w:sz w:val="24"/>
                  <w:szCs w:val="24"/>
                  <w:u w:val="single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ua</w:t>
              </w:r>
            </w:hyperlink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Графіки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комплекси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Дидактичні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практик.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Наочні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ібники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колекції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археологічного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музею та НДІ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карпатознаства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картографічні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spacing w:after="0" w:line="264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Навчально-методичні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центри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Археологічний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музей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Ужгородського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археологічна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камеральна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лабораторія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Форма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Лабораторні</w:t>
            </w: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заняття</w:t>
            </w:r>
            <w:proofErr w:type="spellEnd"/>
          </w:p>
        </w:tc>
      </w:tr>
      <w:tr w:rsidR="006A5317" w:rsidRPr="00AE0B85" w:rsidTr="00D86C08">
        <w:trPr>
          <w:trHeight w:val="275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56" w:lineRule="atLeast"/>
              <w:ind w:left="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Ключові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знання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уміння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інші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</w:p>
          <w:p w:rsidR="006A5317" w:rsidRPr="00AE0B85" w:rsidRDefault="006A5317" w:rsidP="00D86C0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Інтегральна компетентність  -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регіональних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студій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зовнішньополітичної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держав,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взаємодій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державами,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недержавними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акторами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характеризуються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комплексністю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умов,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наук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спеціальних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ind w:left="1416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(ЗК)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реалізовувати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як члена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усвідомлювати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верховенства права, прав і свобод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ЗК3.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вчитися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оволодівати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ЗК5.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іжнародному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ЗК10.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державною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ЗК11.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ЗК12.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оброблення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ЗК13.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критичним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самокритичним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ind w:left="1416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</w:t>
            </w:r>
            <w:proofErr w:type="gram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іальні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фахові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 w:rsidRPr="00AE0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(СК)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виокремлювати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тенденції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природу,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динаміку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регіональних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кон-текстах,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безпековому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правовому,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економічному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культурному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інформаційному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СК3.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стан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іджень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міжна-родних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світової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політичній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економічній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юридичній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науках, у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міждисциплінарних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дослідженнях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дипломатичної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ької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дипломатичного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протоколу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етикету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дипломатичне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ділове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листування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іноземними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мовами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інтеграційні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Європейському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континенті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 них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СК8.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національних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іжнародній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арені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регіонів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глобальних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в них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держав для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задач і проблем.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СК10.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та </w:t>
            </w:r>
            <w:proofErr w:type="spellStart"/>
            <w:proofErr w:type="gram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динаміку</w:t>
            </w:r>
            <w:proofErr w:type="spellEnd"/>
            <w:proofErr w:type="gram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міжнародну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систему,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суспільні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17" w:rsidRPr="00AE0B85" w:rsidRDefault="006A5317" w:rsidP="00D8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СК11.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та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еволюцію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форм та перспектив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E0B85">
              <w:rPr>
                <w:rFonts w:ascii="Times New Roman" w:hAnsi="Times New Roman" w:cs="Times New Roman"/>
                <w:sz w:val="24"/>
                <w:szCs w:val="24"/>
              </w:rPr>
              <w:t xml:space="preserve"> з ними.</w:t>
            </w:r>
          </w:p>
          <w:p w:rsidR="006A5317" w:rsidRPr="00AE0B85" w:rsidRDefault="006A5317" w:rsidP="00D86C08">
            <w:pPr>
              <w:spacing w:before="4" w:after="0" w:line="240" w:lineRule="auto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6A5317" w:rsidRPr="00AE0B85" w:rsidTr="00D86C08">
        <w:trPr>
          <w:trHeight w:val="1932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68" w:lineRule="atLeast"/>
              <w:ind w:left="9" w:right="74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Короткий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змі</w:t>
            </w:r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що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перелік</w:t>
            </w:r>
            <w:proofErr w:type="spell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тем):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line="274" w:lineRule="exact"/>
              <w:ind w:left="2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1.Personal and Professional Success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A5317" w:rsidRPr="00AE0B85" w:rsidRDefault="006A5317" w:rsidP="00D86C08">
            <w:pPr>
              <w:spacing w:line="274" w:lineRule="exact"/>
              <w:ind w:left="2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AE0B8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and Society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A5317" w:rsidRPr="00AE0B85" w:rsidRDefault="006A5317" w:rsidP="00D86C08">
            <w:pPr>
              <w:ind w:left="212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uk-UA"/>
              </w:rPr>
              <w:t>Тема 3.</w:t>
            </w: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Public speaking as a vital means of communication.</w:t>
            </w:r>
          </w:p>
          <w:p w:rsidR="006A5317" w:rsidRPr="00AE0B85" w:rsidRDefault="006A5317" w:rsidP="00D86C08">
            <w:pPr>
              <w:ind w:left="212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uk-UA"/>
              </w:rPr>
              <w:t xml:space="preserve">Тема 4. </w:t>
            </w: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Democracy</w:t>
            </w:r>
          </w:p>
          <w:p w:rsidR="006A5317" w:rsidRPr="00AE0B85" w:rsidRDefault="006A5317" w:rsidP="00D86C08">
            <w:pPr>
              <w:ind w:left="212"/>
              <w:rPr>
                <w:rFonts w:ascii="Times New Roman" w:hAnsi="Times New Roman" w:cs="Times New Roman"/>
                <w:kern w:val="36"/>
                <w:sz w:val="24"/>
                <w:szCs w:val="24"/>
                <w:lang w:val="uk-UA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E0B8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Public relations</w:t>
            </w: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uk-UA"/>
              </w:rPr>
              <w:t>.</w:t>
            </w:r>
          </w:p>
          <w:p w:rsidR="006A5317" w:rsidRPr="00AE0B85" w:rsidRDefault="006A5317" w:rsidP="00D86C08">
            <w:pPr>
              <w:spacing w:line="274" w:lineRule="exact"/>
              <w:ind w:left="2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Law and Crime.</w:t>
            </w:r>
          </w:p>
          <w:p w:rsidR="006A5317" w:rsidRPr="00AE0B85" w:rsidRDefault="006A5317" w:rsidP="00D86C08">
            <w:pPr>
              <w:spacing w:line="274" w:lineRule="exact"/>
              <w:ind w:left="2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International Law.</w:t>
            </w:r>
          </w:p>
          <w:p w:rsidR="006A5317" w:rsidRPr="00AE0B85" w:rsidRDefault="006A5317" w:rsidP="00D86C08">
            <w:pPr>
              <w:spacing w:line="274" w:lineRule="exact"/>
              <w:ind w:left="212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Warfare and Peace.</w:t>
            </w:r>
          </w:p>
          <w:p w:rsidR="006A5317" w:rsidRPr="00AE0B85" w:rsidRDefault="006A5317" w:rsidP="00D86C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Society.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uk-UA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Diplomacy</w:t>
            </w: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Relations.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United Nations Organization.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European Union.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14.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NATO.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15.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Organization for Security and Cooperation in Europe.</w:t>
            </w:r>
          </w:p>
          <w:p w:rsidR="006A5317" w:rsidRPr="00AE0B85" w:rsidRDefault="006A5317" w:rsidP="00D86C08">
            <w:pPr>
              <w:widowControl w:val="0"/>
              <w:tabs>
                <w:tab w:val="left" w:pos="3788"/>
              </w:tabs>
              <w:autoSpaceDE w:val="0"/>
              <w:autoSpaceDN w:val="0"/>
              <w:spacing w:before="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16.   </w:t>
            </w:r>
            <w:r w:rsidRPr="00AE0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Trade Organization.</w:t>
            </w:r>
          </w:p>
          <w:p w:rsidR="006A5317" w:rsidRPr="00AE0B85" w:rsidRDefault="006A5317" w:rsidP="00D86C08">
            <w:pPr>
              <w:pStyle w:val="a3"/>
              <w:ind w:left="4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AE0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A5317" w:rsidRPr="00AE0B85" w:rsidTr="00D86C08">
        <w:trPr>
          <w:trHeight w:val="637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68" w:lineRule="atLeast"/>
              <w:ind w:left="9" w:right="74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семестрового</w:t>
            </w:r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5317" w:rsidRPr="00AE0B85" w:rsidRDefault="006A5317" w:rsidP="00D86C08">
            <w:pPr>
              <w:spacing w:after="0" w:line="264" w:lineRule="atLeast"/>
              <w:ind w:left="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Залік</w:t>
            </w:r>
            <w:proofErr w:type="spellEnd"/>
            <w:proofErr w:type="gramStart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AE0B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іспит</w:t>
            </w:r>
          </w:p>
        </w:tc>
      </w:tr>
    </w:tbl>
    <w:p w:rsidR="006A5317" w:rsidRPr="00AE0B85" w:rsidRDefault="006A5317" w:rsidP="006A5317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B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A5317" w:rsidRPr="00AE0B85" w:rsidRDefault="006A5317" w:rsidP="006A5317">
      <w:pPr>
        <w:rPr>
          <w:rFonts w:ascii="Times New Roman" w:hAnsi="Times New Roman" w:cs="Times New Roman"/>
          <w:sz w:val="24"/>
          <w:szCs w:val="24"/>
        </w:rPr>
      </w:pPr>
    </w:p>
    <w:p w:rsidR="006A5317" w:rsidRPr="00AE0B85" w:rsidRDefault="006A5317" w:rsidP="006A5317">
      <w:pPr>
        <w:rPr>
          <w:rFonts w:ascii="Times New Roman" w:hAnsi="Times New Roman" w:cs="Times New Roman"/>
          <w:sz w:val="24"/>
          <w:szCs w:val="24"/>
        </w:rPr>
      </w:pPr>
    </w:p>
    <w:p w:rsidR="006A5317" w:rsidRPr="00AE0B85" w:rsidRDefault="006A5317" w:rsidP="006A5317">
      <w:pPr>
        <w:rPr>
          <w:rFonts w:ascii="Times New Roman" w:hAnsi="Times New Roman" w:cs="Times New Roman"/>
          <w:sz w:val="24"/>
          <w:szCs w:val="24"/>
        </w:rPr>
      </w:pPr>
    </w:p>
    <w:p w:rsidR="006A5317" w:rsidRPr="00AE0B85" w:rsidRDefault="006A5317" w:rsidP="006A5317">
      <w:pPr>
        <w:rPr>
          <w:rFonts w:ascii="Times New Roman" w:hAnsi="Times New Roman" w:cs="Times New Roman"/>
          <w:sz w:val="24"/>
          <w:szCs w:val="24"/>
        </w:rPr>
      </w:pPr>
    </w:p>
    <w:p w:rsidR="006A5317" w:rsidRPr="00AE0B85" w:rsidRDefault="006A5317" w:rsidP="006A53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5317" w:rsidRPr="00AE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6ADB"/>
    <w:multiLevelType w:val="hybridMultilevel"/>
    <w:tmpl w:val="44D04DD2"/>
    <w:lvl w:ilvl="0" w:tplc="096000D4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0E1D26">
      <w:start w:val="1"/>
      <w:numFmt w:val="bullet"/>
      <w:lvlText w:val="o"/>
      <w:lvlJc w:val="left"/>
      <w:pPr>
        <w:ind w:left="114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52AC9A">
      <w:start w:val="1"/>
      <w:numFmt w:val="bullet"/>
      <w:lvlText w:val="▪"/>
      <w:lvlJc w:val="left"/>
      <w:pPr>
        <w:ind w:left="186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76EA48">
      <w:start w:val="1"/>
      <w:numFmt w:val="bullet"/>
      <w:lvlText w:val="•"/>
      <w:lvlJc w:val="left"/>
      <w:pPr>
        <w:ind w:left="258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2AD322">
      <w:start w:val="1"/>
      <w:numFmt w:val="bullet"/>
      <w:lvlText w:val="o"/>
      <w:lvlJc w:val="left"/>
      <w:pPr>
        <w:ind w:left="330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8C580C">
      <w:start w:val="1"/>
      <w:numFmt w:val="bullet"/>
      <w:lvlText w:val="▪"/>
      <w:lvlJc w:val="left"/>
      <w:pPr>
        <w:ind w:left="40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D038B4">
      <w:start w:val="1"/>
      <w:numFmt w:val="bullet"/>
      <w:lvlText w:val="•"/>
      <w:lvlJc w:val="left"/>
      <w:pPr>
        <w:ind w:left="474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A8451E">
      <w:start w:val="1"/>
      <w:numFmt w:val="bullet"/>
      <w:lvlText w:val="o"/>
      <w:lvlJc w:val="left"/>
      <w:pPr>
        <w:ind w:left="546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AEF146">
      <w:start w:val="1"/>
      <w:numFmt w:val="bullet"/>
      <w:lvlText w:val="▪"/>
      <w:lvlJc w:val="left"/>
      <w:pPr>
        <w:ind w:left="618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D7"/>
    <w:rsid w:val="0024533B"/>
    <w:rsid w:val="002840C6"/>
    <w:rsid w:val="005508E2"/>
    <w:rsid w:val="0055799F"/>
    <w:rsid w:val="005A177B"/>
    <w:rsid w:val="005F4B6B"/>
    <w:rsid w:val="006A5317"/>
    <w:rsid w:val="00876BF1"/>
    <w:rsid w:val="008E796E"/>
    <w:rsid w:val="0092115A"/>
    <w:rsid w:val="00985DD7"/>
    <w:rsid w:val="00AE0B85"/>
    <w:rsid w:val="00B55F8B"/>
    <w:rsid w:val="00B975FF"/>
    <w:rsid w:val="00C44260"/>
    <w:rsid w:val="00D05E06"/>
    <w:rsid w:val="00E812A6"/>
    <w:rsid w:val="00EE13A1"/>
    <w:rsid w:val="00EE57A3"/>
    <w:rsid w:val="00F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learn.uzh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890</Words>
  <Characters>5077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2024-08-29T14:53:00Z</dcterms:created>
  <dcterms:modified xsi:type="dcterms:W3CDTF">2024-11-28T18:15:00Z</dcterms:modified>
</cp:coreProperties>
</file>