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445790" w14:paraId="71D48230" w14:textId="77777777" w:rsidTr="000E4EAE">
        <w:tc>
          <w:tcPr>
            <w:tcW w:w="5666" w:type="dxa"/>
          </w:tcPr>
          <w:p w14:paraId="61631C32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Силабус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курсу</w:t>
            </w:r>
          </w:p>
          <w:p w14:paraId="323D8401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</w:rPr>
            </w:pPr>
          </w:p>
          <w:p w14:paraId="7CFDEC08" w14:textId="77777777" w:rsidR="00445790" w:rsidRPr="00445790" w:rsidRDefault="00AE2CFA" w:rsidP="00AE2CFA">
            <w:pPr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  <w:t>Ресторанний креатив</w:t>
            </w:r>
          </w:p>
          <w:p w14:paraId="3454EEA9" w14:textId="77777777" w:rsidR="00445790" w:rsidRPr="00445790" w:rsidRDefault="00445790" w:rsidP="00445790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uk-UA"/>
              </w:rPr>
            </w:pPr>
          </w:p>
          <w:p w14:paraId="395497B2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Освітній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ступінь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–</w:t>
            </w:r>
            <w:r w:rsidRPr="00445790">
              <w:rPr>
                <w:rFonts w:asciiTheme="majorHAnsi" w:hAnsiTheme="majorHAnsi" w:cstheme="majorHAnsi"/>
                <w:lang w:val="uk-UA"/>
              </w:rPr>
              <w:t xml:space="preserve"> </w:t>
            </w:r>
            <w:r w:rsidR="00AE2CFA">
              <w:rPr>
                <w:rFonts w:asciiTheme="majorHAnsi" w:hAnsiTheme="majorHAnsi" w:cstheme="majorHAnsi"/>
                <w:lang w:val="uk-UA"/>
              </w:rPr>
              <w:t>магістр</w:t>
            </w:r>
          </w:p>
          <w:p w14:paraId="7D4C5A62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Галузь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знань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24 Сфера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обслуговування</w:t>
            </w:r>
            <w:proofErr w:type="spellEnd"/>
          </w:p>
          <w:p w14:paraId="75344FD1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Спеціальність</w:t>
            </w:r>
            <w:proofErr w:type="spellEnd"/>
            <w:r w:rsidRPr="00445790">
              <w:rPr>
                <w:rFonts w:asciiTheme="majorHAnsi" w:hAnsiTheme="majorHAnsi" w:cstheme="majorHAnsi"/>
              </w:rPr>
              <w:t>: 24</w:t>
            </w:r>
            <w:r w:rsidRPr="00445790">
              <w:rPr>
                <w:rFonts w:asciiTheme="majorHAnsi" w:hAnsiTheme="majorHAnsi" w:cstheme="majorHAnsi"/>
                <w:lang w:val="uk-UA"/>
              </w:rPr>
              <w:t>1 Готельно-ресторанна справа</w:t>
            </w:r>
          </w:p>
          <w:p w14:paraId="72E70C9E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Освітньо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програма</w:t>
            </w:r>
            <w:proofErr w:type="spellEnd"/>
            <w:r w:rsidRPr="00445790">
              <w:rPr>
                <w:rFonts w:asciiTheme="majorHAnsi" w:hAnsiTheme="majorHAnsi" w:cstheme="majorHAnsi"/>
                <w:lang w:val="uk-UA"/>
              </w:rPr>
              <w:t>:</w:t>
            </w:r>
            <w:r w:rsidRPr="00445790">
              <w:rPr>
                <w:rFonts w:asciiTheme="majorHAnsi" w:hAnsiTheme="majorHAnsi" w:cstheme="majorHAnsi"/>
              </w:rPr>
              <w:t xml:space="preserve"> 24</w:t>
            </w:r>
            <w:r w:rsidRPr="00445790">
              <w:rPr>
                <w:rFonts w:asciiTheme="majorHAnsi" w:hAnsiTheme="majorHAnsi" w:cstheme="majorHAnsi"/>
                <w:lang w:val="uk-UA"/>
              </w:rPr>
              <w:t>1 Готельно-ресторанна справа</w:t>
            </w:r>
          </w:p>
          <w:p w14:paraId="24DC07CE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підготовки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семестр – </w:t>
            </w:r>
            <w:r w:rsidR="00F86FAF">
              <w:rPr>
                <w:rFonts w:asciiTheme="majorHAnsi" w:hAnsiTheme="majorHAnsi" w:cstheme="majorHAnsi"/>
                <w:lang w:val="uk-UA"/>
              </w:rPr>
              <w:t>5</w:t>
            </w:r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рік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, </w:t>
            </w:r>
            <w:r w:rsidR="00F86FAF">
              <w:rPr>
                <w:rFonts w:asciiTheme="majorHAnsi" w:hAnsiTheme="majorHAnsi" w:cstheme="majorHAnsi"/>
                <w:lang w:val="uk-UA"/>
              </w:rPr>
              <w:t>І</w:t>
            </w:r>
            <w:r w:rsidRPr="00445790">
              <w:rPr>
                <w:rFonts w:asciiTheme="majorHAnsi" w:hAnsiTheme="majorHAnsi" w:cstheme="majorHAnsi"/>
              </w:rPr>
              <w:t xml:space="preserve"> семестр</w:t>
            </w:r>
          </w:p>
          <w:p w14:paraId="28242DCC" w14:textId="77777777" w:rsidR="00445790" w:rsidRPr="00445790" w:rsidRDefault="00445790" w:rsidP="00445790">
            <w:pPr>
              <w:rPr>
                <w:rFonts w:asciiTheme="majorHAnsi" w:hAnsiTheme="majorHAnsi" w:cstheme="majorHAnsi"/>
                <w:lang w:val="uk-UA"/>
              </w:rPr>
            </w:pPr>
            <w:r w:rsidRPr="00445790">
              <w:rPr>
                <w:rFonts w:asciiTheme="majorHAnsi" w:hAnsiTheme="majorHAnsi" w:cstheme="majorHAnsi"/>
              </w:rPr>
              <w:t xml:space="preserve">Компонент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освітньої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програми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r w:rsidRPr="00445790">
              <w:rPr>
                <w:rFonts w:asciiTheme="majorHAnsi" w:hAnsiTheme="majorHAnsi" w:cstheme="majorHAnsi"/>
                <w:lang w:val="uk-UA"/>
              </w:rPr>
              <w:t>обов’язковий</w:t>
            </w:r>
          </w:p>
          <w:p w14:paraId="0EFDBB49" w14:textId="77777777" w:rsidR="00445790" w:rsidRPr="00445790" w:rsidRDefault="00445790" w:rsidP="00445790">
            <w:pPr>
              <w:rPr>
                <w:rFonts w:asciiTheme="majorHAnsi" w:hAnsiTheme="majorHAnsi" w:cstheme="majorHAnsi"/>
              </w:rPr>
            </w:pPr>
            <w:proofErr w:type="spellStart"/>
            <w:r w:rsidRPr="00445790">
              <w:rPr>
                <w:rFonts w:asciiTheme="majorHAnsi" w:hAnsiTheme="majorHAnsi" w:cstheme="majorHAnsi"/>
              </w:rPr>
              <w:t>Мова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45790">
              <w:rPr>
                <w:rFonts w:asciiTheme="majorHAnsi" w:hAnsiTheme="majorHAnsi" w:cstheme="majorHAnsi"/>
              </w:rPr>
              <w:t>викладання</w:t>
            </w:r>
            <w:proofErr w:type="spellEnd"/>
            <w:r w:rsidRPr="00445790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445790">
              <w:rPr>
                <w:rFonts w:asciiTheme="majorHAnsi" w:hAnsiTheme="majorHAnsi" w:cstheme="majorHAnsi"/>
              </w:rPr>
              <w:t>українська</w:t>
            </w:r>
            <w:proofErr w:type="spellEnd"/>
          </w:p>
          <w:p w14:paraId="3706A0A2" w14:textId="77777777" w:rsidR="00445790" w:rsidRPr="00445790" w:rsidRDefault="00445790" w:rsidP="00445790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21" w:type="dxa"/>
          </w:tcPr>
          <w:p w14:paraId="144D3AC6" w14:textId="77777777" w:rsidR="00445790" w:rsidRPr="00C70CA2" w:rsidRDefault="00445790" w:rsidP="00C70CA2">
            <w:pPr>
              <w:spacing w:after="160" w:line="259" w:lineRule="auto"/>
              <w:rPr>
                <w:noProof/>
                <w:lang w:val="uk-UA" w:eastAsia="ru-RU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83DEFC0" wp14:editId="6B23627A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3577D" w14:textId="77777777" w:rsidR="00445790" w:rsidRPr="000E4EAE" w:rsidRDefault="00445790" w:rsidP="00445790">
      <w:pPr>
        <w:rPr>
          <w:b/>
        </w:rPr>
      </w:pPr>
    </w:p>
    <w:p w14:paraId="2F900731" w14:textId="77777777" w:rsidR="00445790" w:rsidRPr="000E4EAE" w:rsidRDefault="00445790" w:rsidP="00445790">
      <w:pPr>
        <w:rPr>
          <w:b/>
        </w:rPr>
      </w:pPr>
      <w:proofErr w:type="spellStart"/>
      <w:r w:rsidRPr="000E4EAE">
        <w:rPr>
          <w:b/>
        </w:rPr>
        <w:t>Керівник</w:t>
      </w:r>
      <w:proofErr w:type="spellEnd"/>
      <w:r w:rsidRPr="000E4EAE">
        <w:rPr>
          <w:b/>
        </w:rPr>
        <w:t xml:space="preserve"> курсу</w:t>
      </w:r>
    </w:p>
    <w:p w14:paraId="43709FCB" w14:textId="77777777" w:rsidR="00F86FAF" w:rsidRDefault="00F86FAF" w:rsidP="00445790">
      <w:pPr>
        <w:rPr>
          <w:lang w:val="uk-UA"/>
        </w:rPr>
      </w:pPr>
      <w:r>
        <w:t>к.</w:t>
      </w:r>
      <w:r>
        <w:rPr>
          <w:lang w:val="uk-UA"/>
        </w:rPr>
        <w:t xml:space="preserve"> </w:t>
      </w:r>
      <w:r w:rsidR="00445790">
        <w:rPr>
          <w:lang w:val="uk-UA"/>
        </w:rPr>
        <w:t>е</w:t>
      </w:r>
      <w:r w:rsidR="00445790">
        <w:t xml:space="preserve">.н., доц. </w:t>
      </w:r>
      <w:r>
        <w:rPr>
          <w:lang w:val="uk-UA"/>
        </w:rPr>
        <w:t>Сіра Евеліна Олександрівна</w:t>
      </w:r>
    </w:p>
    <w:p w14:paraId="52AF0E8B" w14:textId="77777777" w:rsidR="00445790" w:rsidRPr="00445790" w:rsidRDefault="00445790" w:rsidP="00445790">
      <w:pPr>
        <w:rPr>
          <w:lang w:val="uk-UA"/>
        </w:rPr>
      </w:pPr>
      <w:proofErr w:type="spellStart"/>
      <w:r>
        <w:t>Контак</w:t>
      </w:r>
      <w:proofErr w:type="spellEnd"/>
      <w:r>
        <w:rPr>
          <w:lang w:val="uk-UA"/>
        </w:rPr>
        <w:t>ти:</w:t>
      </w:r>
      <w:r w:rsidR="00F86FAF" w:rsidRPr="00F86FAF">
        <w:t xml:space="preserve"> </w:t>
      </w:r>
      <w:proofErr w:type="spellStart"/>
      <w:r w:rsidR="00F86FAF">
        <w:rPr>
          <w:lang w:val="en-US"/>
        </w:rPr>
        <w:t>evelina</w:t>
      </w:r>
      <w:proofErr w:type="spellEnd"/>
      <w:r w:rsidR="00F86FAF" w:rsidRPr="00F86FAF">
        <w:t>.</w:t>
      </w:r>
      <w:proofErr w:type="spellStart"/>
      <w:r w:rsidR="00F86FAF">
        <w:rPr>
          <w:lang w:val="en-US"/>
        </w:rPr>
        <w:t>sira</w:t>
      </w:r>
      <w:proofErr w:type="spellEnd"/>
      <w:r w:rsidR="004F35B7">
        <w:fldChar w:fldCharType="begin"/>
      </w:r>
      <w:r w:rsidR="004F35B7">
        <w:instrText xml:space="preserve"> HYPERLINK "mailto:galyna.kish@uzhnu.edu.ua" </w:instrText>
      </w:r>
      <w:r w:rsidR="004F35B7">
        <w:fldChar w:fldCharType="separate"/>
      </w:r>
      <w:r w:rsidRPr="00FB7458">
        <w:rPr>
          <w:rStyle w:val="a4"/>
        </w:rPr>
        <w:t>@</w:t>
      </w:r>
      <w:proofErr w:type="spellStart"/>
      <w:proofErr w:type="gramStart"/>
      <w:r w:rsidRPr="00FB7458">
        <w:rPr>
          <w:rStyle w:val="a4"/>
          <w:lang w:val="en-US"/>
        </w:rPr>
        <w:t>uzhnu</w:t>
      </w:r>
      <w:proofErr w:type="spellEnd"/>
      <w:r w:rsidRPr="00FB7458">
        <w:rPr>
          <w:rStyle w:val="a4"/>
        </w:rPr>
        <w:t>.</w:t>
      </w:r>
      <w:proofErr w:type="spellStart"/>
      <w:r w:rsidRPr="00FB7458">
        <w:rPr>
          <w:rStyle w:val="a4"/>
          <w:lang w:val="en-US"/>
        </w:rPr>
        <w:t>edu</w:t>
      </w:r>
      <w:proofErr w:type="spellEnd"/>
      <w:r w:rsidRPr="00FB7458">
        <w:rPr>
          <w:rStyle w:val="a4"/>
        </w:rPr>
        <w:t>.</w:t>
      </w:r>
      <w:proofErr w:type="spellStart"/>
      <w:r w:rsidRPr="00FB7458">
        <w:rPr>
          <w:rStyle w:val="a4"/>
          <w:lang w:val="en-US"/>
        </w:rPr>
        <w:t>ua</w:t>
      </w:r>
      <w:proofErr w:type="spellEnd"/>
      <w:r w:rsidR="004F35B7">
        <w:rPr>
          <w:rStyle w:val="a4"/>
          <w:lang w:val="en-US"/>
        </w:rPr>
        <w:fldChar w:fldCharType="end"/>
      </w:r>
      <w:r>
        <w:rPr>
          <w:lang w:val="uk-UA"/>
        </w:rPr>
        <w:t xml:space="preserve">  0</w:t>
      </w:r>
      <w:r w:rsidR="00AE2CFA">
        <w:rPr>
          <w:lang w:val="uk-UA"/>
        </w:rPr>
        <w:t>502928006</w:t>
      </w:r>
      <w:proofErr w:type="gramEnd"/>
    </w:p>
    <w:p w14:paraId="20CDB9EC" w14:textId="77777777" w:rsidR="00445790" w:rsidRPr="00F86FAF" w:rsidRDefault="00445790" w:rsidP="00445790">
      <w:pPr>
        <w:rPr>
          <w:color w:val="2F5496" w:themeColor="accent5" w:themeShade="BF"/>
          <w:lang w:val="uk-UA"/>
        </w:rPr>
      </w:pPr>
    </w:p>
    <w:p w14:paraId="0F625AE5" w14:textId="77777777" w:rsidR="00445790" w:rsidRPr="00B77081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B77081">
        <w:rPr>
          <w:rFonts w:asciiTheme="majorHAnsi" w:hAnsiTheme="majorHAnsi"/>
          <w:b/>
          <w:color w:val="FF0000"/>
          <w:sz w:val="24"/>
          <w:szCs w:val="24"/>
          <w:lang w:val="uk-UA"/>
        </w:rPr>
        <w:t>Опис дисципліни</w:t>
      </w:r>
    </w:p>
    <w:p w14:paraId="4B45B398" w14:textId="77777777" w:rsidR="000E4EAE" w:rsidRPr="00B77081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</w:p>
    <w:p w14:paraId="5EBB429E" w14:textId="77777777" w:rsidR="00F86FAF" w:rsidRPr="00B77081" w:rsidRDefault="0031380C" w:rsidP="00F86FAF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B77081">
        <w:rPr>
          <w:rFonts w:asciiTheme="majorHAnsi" w:hAnsiTheme="majorHAnsi" w:cstheme="majorHAnsi"/>
          <w:sz w:val="24"/>
          <w:szCs w:val="24"/>
          <w:lang w:val="uk-UA"/>
        </w:rPr>
        <w:t xml:space="preserve">Стрімкий розвиток суспільства і активізація ринкових процесів обумовлює необхідність адаптації підприємств до змін зовнішнього середовища. </w:t>
      </w:r>
      <w:r w:rsidRPr="00B77081">
        <w:rPr>
          <w:rFonts w:asciiTheme="majorHAnsi" w:hAnsiTheme="majorHAnsi" w:cstheme="majorHAnsi"/>
          <w:sz w:val="24"/>
          <w:szCs w:val="24"/>
        </w:rPr>
        <w:t xml:space="preserve">Одним з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напрямків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вирішення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даної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проблеми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є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використання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сучасних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стильових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арт –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тенденцій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. Особливо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гостро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вона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стоїть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перед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підприємствами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сфери</w:t>
      </w:r>
      <w:proofErr w:type="spellEnd"/>
      <w:r w:rsidRPr="00B77081">
        <w:rPr>
          <w:rFonts w:asciiTheme="majorHAnsi" w:hAnsiTheme="majorHAnsi" w:cstheme="majorHAnsi"/>
          <w:sz w:val="24"/>
          <w:szCs w:val="24"/>
        </w:rPr>
        <w:t xml:space="preserve"> готельно-ресторанного </w:t>
      </w:r>
      <w:proofErr w:type="spellStart"/>
      <w:r w:rsidRPr="00B77081">
        <w:rPr>
          <w:rFonts w:asciiTheme="majorHAnsi" w:hAnsiTheme="majorHAnsi" w:cstheme="majorHAnsi"/>
          <w:sz w:val="24"/>
          <w:szCs w:val="24"/>
        </w:rPr>
        <w:t>господарства.</w:t>
      </w:r>
      <w:r w:rsidR="00F86FAF" w:rsidRPr="00B77081">
        <w:rPr>
          <w:rFonts w:asciiTheme="majorHAnsi" w:hAnsiTheme="majorHAnsi" w:cstheme="majorHAnsi"/>
          <w:sz w:val="24"/>
          <w:szCs w:val="24"/>
        </w:rPr>
        <w:t>Метою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курсу є </w:t>
      </w:r>
      <w:proofErr w:type="spellStart"/>
      <w:proofErr w:type="gramStart"/>
      <w:r w:rsidR="00F86FAF" w:rsidRPr="00B77081">
        <w:rPr>
          <w:rFonts w:asciiTheme="majorHAnsi" w:hAnsiTheme="majorHAnsi" w:cstheme="majorHAnsi"/>
          <w:sz w:val="24"/>
          <w:szCs w:val="24"/>
        </w:rPr>
        <w:t>розкриття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соціально</w:t>
      </w:r>
      <w:proofErr w:type="spellEnd"/>
      <w:proofErr w:type="gram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психологічних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закономірностей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ресторанного креативу та менеджменту,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знань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умінь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та 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практичних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навичок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галузі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творчого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управління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здатностей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до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самостійного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творчого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вирішення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проблем,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вмінь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управляти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індивідуальною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й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колективною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86FAF" w:rsidRPr="00B77081">
        <w:rPr>
          <w:rFonts w:asciiTheme="majorHAnsi" w:hAnsiTheme="majorHAnsi" w:cstheme="majorHAnsi"/>
          <w:sz w:val="24"/>
          <w:szCs w:val="24"/>
        </w:rPr>
        <w:t>творчістю</w:t>
      </w:r>
      <w:proofErr w:type="spellEnd"/>
      <w:r w:rsidR="00F86FAF" w:rsidRPr="00B77081">
        <w:rPr>
          <w:rFonts w:asciiTheme="majorHAnsi" w:hAnsiTheme="majorHAnsi" w:cstheme="majorHAnsi"/>
          <w:sz w:val="24"/>
          <w:szCs w:val="24"/>
        </w:rPr>
        <w:t>.</w:t>
      </w:r>
    </w:p>
    <w:p w14:paraId="50F78CA0" w14:textId="77777777" w:rsidR="00C70CA2" w:rsidRPr="00F86FAF" w:rsidRDefault="00C70CA2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14:paraId="43DABF2D" w14:textId="77777777" w:rsidR="00445790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Навчальний</w:t>
      </w:r>
      <w:proofErr w:type="spellEnd"/>
      <w:r w:rsidRPr="000E4EAE">
        <w:rPr>
          <w:rFonts w:asciiTheme="majorHAnsi" w:hAnsiTheme="majorHAnsi"/>
          <w:b/>
          <w:color w:val="FF0000"/>
          <w:sz w:val="24"/>
          <w:szCs w:val="24"/>
        </w:rPr>
        <w:t xml:space="preserve"> контент</w:t>
      </w:r>
    </w:p>
    <w:p w14:paraId="39E4EE26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"/>
        <w:gridCol w:w="2566"/>
        <w:gridCol w:w="7066"/>
      </w:tblGrid>
      <w:tr w:rsidR="007F1AA9" w:rsidRPr="000E4EAE" w14:paraId="53EE46B8" w14:textId="77777777" w:rsidTr="00BC116F">
        <w:tc>
          <w:tcPr>
            <w:tcW w:w="0" w:type="auto"/>
          </w:tcPr>
          <w:p w14:paraId="1E91089D" w14:textId="77777777" w:rsidR="00C3795E" w:rsidRPr="000E4EAE" w:rsidRDefault="00C3795E" w:rsidP="000E4E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43C96" w14:textId="77777777" w:rsidR="00C3795E" w:rsidRPr="00B77081" w:rsidRDefault="00C3795E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Теми</w:t>
            </w:r>
          </w:p>
        </w:tc>
        <w:tc>
          <w:tcPr>
            <w:tcW w:w="0" w:type="auto"/>
          </w:tcPr>
          <w:p w14:paraId="66952041" w14:textId="77777777" w:rsidR="00C3795E" w:rsidRPr="00B77081" w:rsidRDefault="00C3795E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Результати</w:t>
            </w:r>
            <w:proofErr w:type="spellEnd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навчання</w:t>
            </w:r>
            <w:proofErr w:type="spellEnd"/>
          </w:p>
          <w:p w14:paraId="02034EAF" w14:textId="77777777" w:rsidR="00C3795E" w:rsidRPr="00B77081" w:rsidRDefault="00C3795E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3795E" w:rsidRPr="000E4EAE" w14:paraId="069526BB" w14:textId="77777777" w:rsidTr="00BC116F">
        <w:tc>
          <w:tcPr>
            <w:tcW w:w="0" w:type="auto"/>
            <w:gridSpan w:val="3"/>
          </w:tcPr>
          <w:p w14:paraId="771BF50F" w14:textId="77777777" w:rsidR="00C3795E" w:rsidRPr="00B77081" w:rsidRDefault="00A21F6D" w:rsidP="00B77081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>Змістовий</w:t>
            </w:r>
            <w:proofErr w:type="spellEnd"/>
            <w:r w:rsidRPr="00B7708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1</w:t>
            </w:r>
          </w:p>
        </w:tc>
      </w:tr>
      <w:tr w:rsidR="007F1AA9" w:rsidRPr="000E4EAE" w14:paraId="2B7A8292" w14:textId="77777777" w:rsidTr="00BC116F">
        <w:tc>
          <w:tcPr>
            <w:tcW w:w="0" w:type="auto"/>
          </w:tcPr>
          <w:p w14:paraId="22FB852A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305CB3" w14:textId="77777777" w:rsidR="00C3795E" w:rsidRPr="00B77081" w:rsidRDefault="00AE2CFA" w:rsidP="00B77081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Сутність, структура та основні механізми творчості.</w:t>
            </w:r>
          </w:p>
        </w:tc>
        <w:tc>
          <w:tcPr>
            <w:tcW w:w="0" w:type="auto"/>
          </w:tcPr>
          <w:p w14:paraId="2860FA99" w14:textId="77777777" w:rsidR="0031380C" w:rsidRPr="00B77081" w:rsidRDefault="007607C1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Знати 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е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кономічні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управлінські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психологічні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підходи</w:t>
            </w:r>
            <w:proofErr w:type="spellEnd"/>
            <w:proofErr w:type="gram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до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творчості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.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Зміст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та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основні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види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творчості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Основні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механізми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та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прийоми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творчості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Розуміти с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відоме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та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несвідоме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в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творчості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Знати с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кладові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креативності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вміння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творчо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мислити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компетентність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внутрішня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мотивація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та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в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иди 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мислення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системне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і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стратегічне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proofErr w:type="spellStart"/>
            <w:r w:rsidR="0031380C" w:rsidRPr="00B77081">
              <w:rPr>
                <w:rFonts w:asciiTheme="majorHAnsi" w:hAnsiTheme="majorHAnsi" w:cstheme="majorHAnsi"/>
                <w:sz w:val="24"/>
                <w:szCs w:val="24"/>
              </w:rPr>
              <w:t>трансформаційне</w:t>
            </w:r>
            <w:proofErr w:type="spellEnd"/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.</w:t>
            </w:r>
          </w:p>
        </w:tc>
      </w:tr>
      <w:tr w:rsidR="007F1AA9" w:rsidRPr="000E4EAE" w14:paraId="11056C54" w14:textId="77777777" w:rsidTr="00BC116F">
        <w:tc>
          <w:tcPr>
            <w:tcW w:w="0" w:type="auto"/>
          </w:tcPr>
          <w:p w14:paraId="15EFDD5A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E0B9605" w14:textId="77777777" w:rsidR="00C3795E" w:rsidRPr="00B77081" w:rsidRDefault="00AE2CFA" w:rsidP="00B77081">
            <w:pPr>
              <w:tabs>
                <w:tab w:val="left" w:pos="360"/>
              </w:tabs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Методи активізації креативного потенціалу особистості.</w:t>
            </w:r>
          </w:p>
        </w:tc>
        <w:tc>
          <w:tcPr>
            <w:tcW w:w="0" w:type="auto"/>
          </w:tcPr>
          <w:p w14:paraId="0D870CDF" w14:textId="77777777" w:rsidR="00C3795E" w:rsidRPr="00B77081" w:rsidRDefault="0031380C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Знати методи інтенсифікації творчих процесів: метод мозкового штурму; метод фокальних об’єктів; метод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синектики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. Вміти пояснити про пошук і генерацію нових ідей. </w:t>
            </w:r>
          </w:p>
        </w:tc>
      </w:tr>
      <w:tr w:rsidR="007F1AA9" w:rsidRPr="00171C6A" w14:paraId="1B769903" w14:textId="77777777" w:rsidTr="00BC116F">
        <w:tc>
          <w:tcPr>
            <w:tcW w:w="0" w:type="auto"/>
          </w:tcPr>
          <w:p w14:paraId="18199787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6D4AF" w14:textId="77777777" w:rsidR="00C3795E" w:rsidRPr="00B77081" w:rsidRDefault="00AE2CFA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Основні фактори та функції ефективного креативного </w:t>
            </w: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lastRenderedPageBreak/>
              <w:t>управління.</w:t>
            </w:r>
          </w:p>
        </w:tc>
        <w:tc>
          <w:tcPr>
            <w:tcW w:w="0" w:type="auto"/>
          </w:tcPr>
          <w:p w14:paraId="54AA11B8" w14:textId="77777777" w:rsidR="00C3795E" w:rsidRPr="00B77081" w:rsidRDefault="007607C1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lastRenderedPageBreak/>
              <w:t xml:space="preserve">Розуміти особливості 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Цілепокладання, прогнозування, планування, організація, мотивування, комунікація, контроль </w:t>
            </w:r>
            <w:r w:rsidR="0031380C" w:rsidRPr="00B7708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в</w:t>
            </w:r>
            <w:r w:rsidR="0031380C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діяльності керівника. Знати правила </w:t>
            </w:r>
            <w:r w:rsidR="0031380C" w:rsidRPr="00B7708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делегування повноважень. </w:t>
            </w:r>
          </w:p>
        </w:tc>
      </w:tr>
      <w:tr w:rsidR="00171C6A" w:rsidRPr="00171C6A" w14:paraId="61C84AE8" w14:textId="77777777" w:rsidTr="00B221F1">
        <w:tc>
          <w:tcPr>
            <w:tcW w:w="0" w:type="auto"/>
            <w:gridSpan w:val="3"/>
          </w:tcPr>
          <w:p w14:paraId="5F0F1C94" w14:textId="24BB20C5" w:rsidR="00171C6A" w:rsidRPr="00B77081" w:rsidRDefault="00171C6A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Змістовий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модуль 2</w:t>
            </w:r>
          </w:p>
        </w:tc>
      </w:tr>
      <w:tr w:rsidR="007F1AA9" w:rsidRPr="000E4EAE" w14:paraId="7DB59D3F" w14:textId="77777777" w:rsidTr="00BC116F">
        <w:tc>
          <w:tcPr>
            <w:tcW w:w="0" w:type="auto"/>
          </w:tcPr>
          <w:p w14:paraId="2FD8C169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980B143" w14:textId="77777777" w:rsidR="00C3795E" w:rsidRPr="00B77081" w:rsidRDefault="00AE2CFA" w:rsidP="00B77081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uk-UA"/>
              </w:rPr>
            </w:pPr>
            <w:r w:rsidRPr="00B77081">
              <w:rPr>
                <w:rStyle w:val="a8"/>
                <w:rFonts w:asciiTheme="majorHAnsi" w:hAnsiTheme="majorHAnsi" w:cstheme="majorHAnsi"/>
                <w:b w:val="0"/>
                <w:sz w:val="24"/>
                <w:szCs w:val="24"/>
                <w:lang w:val="uk-UA"/>
              </w:rPr>
              <w:t>Креативні стратегії управління персоналом організації.</w:t>
            </w:r>
          </w:p>
        </w:tc>
        <w:tc>
          <w:tcPr>
            <w:tcW w:w="0" w:type="auto"/>
          </w:tcPr>
          <w:p w14:paraId="491D2231" w14:textId="77777777" w:rsidR="00C3795E" w:rsidRPr="00B77081" w:rsidRDefault="0031380C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Орієнтуватися в</w:t>
            </w:r>
            <w:r w:rsidR="00BC116F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</w:t>
            </w:r>
            <w:r w:rsidRPr="00B7708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сучасних поглядах на </w:t>
            </w: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управління </w:t>
            </w:r>
            <w:r w:rsidRPr="00B7708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персоналом та вміти вибирати методи </w:t>
            </w: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управління </w:t>
            </w:r>
            <w:r w:rsidRPr="00B77081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персоналом організації та здійснювати розробку положень про підрозділи й посадових інструкцій на</w:t>
            </w:r>
            <w:r w:rsidR="00804A44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підприємства</w:t>
            </w: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х</w:t>
            </w:r>
            <w:r w:rsidR="00804A44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ресторанного господарства</w:t>
            </w:r>
          </w:p>
        </w:tc>
      </w:tr>
      <w:tr w:rsidR="007F1AA9" w:rsidRPr="000E4EAE" w14:paraId="77266931" w14:textId="77777777" w:rsidTr="00BC116F">
        <w:tc>
          <w:tcPr>
            <w:tcW w:w="0" w:type="auto"/>
          </w:tcPr>
          <w:p w14:paraId="3B5E65DC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2F767906" w14:textId="77777777" w:rsidR="00C3795E" w:rsidRPr="00B77081" w:rsidRDefault="00AE2CFA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Конфлікти в організації і їх творче вирішення.</w:t>
            </w:r>
          </w:p>
        </w:tc>
        <w:tc>
          <w:tcPr>
            <w:tcW w:w="0" w:type="auto"/>
          </w:tcPr>
          <w:p w14:paraId="6F0D9552" w14:textId="77777777" w:rsidR="00C3795E" w:rsidRPr="00B77081" w:rsidRDefault="007F1AA9" w:rsidP="00B77081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Знати д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жерела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й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види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протиріч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усередині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підприємства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ресторанного господарства та</w:t>
            </w:r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Етапи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їх</w:t>
            </w:r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розвитку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, причини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виникнення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Вирізняти к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онфлікти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в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групах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міжособистісний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внутрігруповий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і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міжгруповий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Знати т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ипологі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ю</w:t>
            </w:r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співробітників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-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ініціаторів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конфліктів</w:t>
            </w:r>
            <w:proofErr w:type="spellEnd"/>
            <w:r w:rsidRPr="00B7708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7F1AA9" w:rsidRPr="000E4EAE" w14:paraId="5CFC634D" w14:textId="77777777" w:rsidTr="00BC116F">
        <w:tc>
          <w:tcPr>
            <w:tcW w:w="0" w:type="auto"/>
          </w:tcPr>
          <w:p w14:paraId="179E6720" w14:textId="77777777" w:rsidR="00C3795E" w:rsidRPr="007F1AA9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2E706E0" w14:textId="77777777" w:rsidR="00C3795E" w:rsidRPr="00B77081" w:rsidRDefault="00AE2CFA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Соціально-психологічні аспекти креативного бізнес-мислення в організації.</w:t>
            </w:r>
          </w:p>
        </w:tc>
        <w:tc>
          <w:tcPr>
            <w:tcW w:w="0" w:type="auto"/>
          </w:tcPr>
          <w:p w14:paraId="63FF8774" w14:textId="77777777" w:rsidR="00C3795E" w:rsidRPr="00B77081" w:rsidRDefault="007607C1" w:rsidP="00B77081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uk-UA"/>
              </w:rPr>
            </w:pPr>
            <w:r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Розуміти сутність </w:t>
            </w:r>
            <w:r w:rsidR="007F1AA9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інновацій та  Соціально-психологічних особливостей інноваційного процесу. Знати психологічні бар'єри при сприйнятті змін  і методи подолання опору </w:t>
            </w:r>
            <w:r w:rsidR="00804A44" w:rsidRPr="00B77081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працівників закладів ресторанного бізнесу</w:t>
            </w:r>
          </w:p>
        </w:tc>
      </w:tr>
      <w:tr w:rsidR="007F1AA9" w:rsidRPr="000E4EAE" w14:paraId="39374019" w14:textId="77777777" w:rsidTr="00BC116F">
        <w:tc>
          <w:tcPr>
            <w:tcW w:w="0" w:type="auto"/>
          </w:tcPr>
          <w:p w14:paraId="597A6BF8" w14:textId="77777777" w:rsidR="00C3795E" w:rsidRPr="000E4EAE" w:rsidRDefault="00C3795E" w:rsidP="000E4EA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8CF19E" w14:textId="77777777" w:rsidR="00C3795E" w:rsidRPr="000E4EAE" w:rsidRDefault="00C3795E" w:rsidP="000E4E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21E2325" w14:textId="77777777" w:rsidR="00C3795E" w:rsidRPr="000E4EAE" w:rsidRDefault="00C3795E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</w:tr>
    </w:tbl>
    <w:p w14:paraId="17A2CA03" w14:textId="77777777" w:rsidR="00C3795E" w:rsidRPr="000E4EAE" w:rsidRDefault="00C3795E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B2CA124" w14:textId="77777777" w:rsidR="00445790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Літературні</w:t>
      </w:r>
      <w:proofErr w:type="spellEnd"/>
      <w:r w:rsidRPr="000E4EAE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b/>
          <w:color w:val="FF0000"/>
          <w:sz w:val="24"/>
          <w:szCs w:val="24"/>
        </w:rPr>
        <w:t>джерела</w:t>
      </w:r>
      <w:proofErr w:type="spellEnd"/>
    </w:p>
    <w:p w14:paraId="5A2EC9ED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14:paraId="0FC2CCB0" w14:textId="77777777" w:rsidR="00171C6A" w:rsidRPr="00171C6A" w:rsidRDefault="00445790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B7708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Архіпов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В.В.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Організація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обслуговування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 закладах ресторанного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господарства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/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Архіпов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В.В.,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Русавська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В.А. –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Центр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учбової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літератури</w:t>
      </w:r>
      <w:proofErr w:type="spellEnd"/>
      <w:r w:rsidR="00171C6A"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, 2009. – 340 с.</w:t>
      </w:r>
    </w:p>
    <w:p w14:paraId="3F3328AC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Архіпов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В. В.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Ресторанна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справа: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асортимент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технологія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управління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якістю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продукції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сучасному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ресторані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навчальний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/ В. В.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Архіпов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МОН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- 3-є вид. –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Центр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учбової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літератури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, 2007. – 382 с.</w:t>
      </w:r>
    </w:p>
    <w:p w14:paraId="28AC12D2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Андренко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І. Б. Менеджмент готельно-ресторанного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підручник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/ І. Б.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Андренко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О.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Кравець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І.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Писаревський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;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Харк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нац. ун-т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міськ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ім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 О. М. Бекетова. – Х.: ХНУМГ, 2014. – 431 с.</w:t>
      </w:r>
    </w:p>
    <w:p w14:paraId="6C5ACEF0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At the Chef's Table/ Culinary Creativity in Elite Restaurants by VANINA CHZINER Stanford University Press PY  - 2015</w:t>
      </w:r>
    </w:p>
    <w:p w14:paraId="72C1C66B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Бабарицька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В. К. Менеджмент туризму.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Туроперейтинг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Понятійно-термінологічні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основи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сервісне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забезпечення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тур продукту: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В. К.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Бабарицька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О. Ю.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Малиновська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Вид. 2-ге,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перероб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та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допов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Альтерпрес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2008. – 230 с. </w:t>
      </w:r>
    </w:p>
    <w:p w14:paraId="0EE5F32E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Бабюк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А.В.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Безпека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сучасні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проблеми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/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Бабюк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А.В.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Чернівці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: Книги ХХІ ст., 2005. – 455 с.</w:t>
      </w:r>
    </w:p>
    <w:p w14:paraId="26AEEC60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Бізнес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по-одеськи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Як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побудувати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мережу, не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втративши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себе </w:t>
      </w:r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/ 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С.Лібкін</w:t>
      </w:r>
      <w:proofErr w:type="spellEnd"/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А.Фрідлянд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Вид.: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BOOK SHEF, 2021</w:t>
      </w:r>
    </w:p>
    <w:p w14:paraId="1FAEEF5A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Василенко, О. П. Менеджмент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для студ.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вищ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закл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О. П. Василенко, Г. О. Коваленко, О. О.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Поліщук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 - Умань: Вид. "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Сочінський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", 2010. - 490 с. </w:t>
      </w:r>
    </w:p>
    <w:p w14:paraId="15210652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 xml:space="preserve">Василенко В.О.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Ситуаційний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менеджмент: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В.О. Василенко, В.І.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Шостка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 - К.: ЦУЛ, 2013. - 241с.</w:t>
      </w:r>
    </w:p>
    <w:p w14:paraId="2EFC3B3A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Виноградський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М.Д.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праці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менеджера: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М.Д.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Виноградський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A.M.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Виноградська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О.М.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Шкапова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 - К.: Кондор, 2012. – 234 с.</w:t>
      </w:r>
    </w:p>
    <w:p w14:paraId="1D78E5D5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НОRECA: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у 3 т. Т.1.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Ресторани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/ За ред. А.А.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Мазаракі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.– К.:КНТЕУ.–2016 -432 с. </w:t>
      </w:r>
    </w:p>
    <w:p w14:paraId="4215D3FA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НОRECA: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у 3 т. Т.1.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Кейтеринг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/ За ред. А.А.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Мазаракі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.– К.:КНТЕУ.–2017 -378 с.</w:t>
      </w:r>
    </w:p>
    <w:p w14:paraId="5A71EF1E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Іпатов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Е.Ф.,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Левківський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К.М.,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Павловський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В.В.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Психологія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управління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бізнесі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Іпатов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Е.Ф.,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Левківський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К.М.,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Павловський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В.В. - Х.; К.: НМЦВО, 2012. – 320 с. </w:t>
      </w:r>
    </w:p>
    <w:p w14:paraId="5FEF2ECF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Kirchler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. E.,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Hoelzl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, E. Economic Psychology: an introduction.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Cambridge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University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Press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2018 – 394 с. </w:t>
      </w:r>
    </w:p>
    <w:p w14:paraId="75E39E07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Колін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Гармон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- «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Що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я знаю про роботу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кав’ярень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Реалії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бізнесу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від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власника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мережі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3fe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Coffee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» /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Nash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Format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- 2021</w:t>
      </w:r>
    </w:p>
    <w:p w14:paraId="383262C9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Пачковський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Ю.Ф.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Психологія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підприємництва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Пачковський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Ю.Ф. - Л.: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Афіша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2011. – 276 с. </w:t>
      </w:r>
    </w:p>
    <w:p w14:paraId="000496C2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Соціальна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психологія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бідності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монографія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/ Т. І.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Бєлавіна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В. О.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Васютинський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В. Ю.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Вінков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та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ін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; за ред. В. О.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Васютинського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;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Національна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академія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педагогічних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наук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Інститут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соціальної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та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політичної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психології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К.: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Міленіум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, 2016. – 294 c.</w:t>
      </w:r>
    </w:p>
    <w:p w14:paraId="4B184CDE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Бучацька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І.О.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Ділові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переговори: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для студ.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вищ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закл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І.О.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Бучацька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Т.В. Дубовик. –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 нац. торг.-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екон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унт, 2012. – 252 с. </w:t>
      </w:r>
    </w:p>
    <w:p w14:paraId="7E49C9EC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Радченко С.Г.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Етика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бізнесу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С.Г. Радченко. – 2-е </w:t>
      </w:r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вид.,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переробл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і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допов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 нац. торг.-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екон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ун-т, 2014. – 396 с. </w:t>
      </w:r>
    </w:p>
    <w:p w14:paraId="6FD4524D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Тіллі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Р. Переговори з продажу; пер. з англ. О.А.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Кожевнікової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Знання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, 2010. – 160 с.</w:t>
      </w:r>
    </w:p>
    <w:p w14:paraId="3F663FA5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Ковешников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В.С.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готельно-ресторанного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/ В.С.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Ковешніков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А.Т.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Матвієнко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О.Г.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Разметова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Видавництво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ЛіраК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, 2018. – 564 с.</w:t>
      </w:r>
    </w:p>
    <w:p w14:paraId="50A47787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Карпенко В.Д. -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виробництва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обслуговування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на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підприємствах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громадського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Навчальний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: НМЦ «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Укоопосвіта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», 2003. – 248 с.</w:t>
      </w:r>
    </w:p>
    <w:p w14:paraId="508A6709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Мостова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Л.М., Новикова О.В.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обслуговування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на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підприємствах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ресторанного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Ліра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, 2010. – 388 с.</w:t>
      </w:r>
    </w:p>
    <w:p w14:paraId="689F9ACF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обслуговування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у закладах ресторанного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підручник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.: [для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вищ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закл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.] / [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Мазаракі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А.,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П'ятницька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Н., Литвиненко Т., Расулова А., Григоренко О.,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Світлична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М., Лукашова Л., Антонюк І.,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Медведєва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А., Благополучна Н.,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Гайовий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І.]; за ред.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П’ятницької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Н. О. – 2-ге вид.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перероб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та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допов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Центр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учбової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літератури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, 2011. – 584 с.</w:t>
      </w:r>
    </w:p>
    <w:p w14:paraId="4E02EF89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Пушкар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З.М.,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Пушкар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Б.Т.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Кадровий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менеджмент: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Навчальний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–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Тернопіль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Осадца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Ю.В., 2017. –210с. </w:t>
      </w:r>
    </w:p>
    <w:p w14:paraId="61AC29AB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Управління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персоналом: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підручник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/ [В.М.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Данюк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А.М. Колот, Г.С. Суков та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ін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.]; 2-ге </w:t>
      </w:r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вид.;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за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заг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та наук. ред.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к.е.н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., проф. В.М.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Данюка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— К.: КНЕУ;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Краматорськ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: НКМЗ, 2014. — 666с.</w:t>
      </w:r>
    </w:p>
    <w:p w14:paraId="24C7693A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Robert L. Mathis, John H. Jackson.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HumanResourceManagement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, 13th Edition, US,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UniversityofWyoming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, 2017 –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Retrievedfrom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: https://core.ac.uk/download/pdf/33797590.pdf </w:t>
      </w:r>
    </w:p>
    <w:p w14:paraId="111CA353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Ronald J. Burke, Julia Christensen Hughes. Hand book of Human Resource Management in the Tourism and Hospitality Industries. School of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>BusinessNew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  <w:lang w:val="en-US"/>
        </w:rPr>
        <w:t xml:space="preserve"> York University, College of Business and Economics University of Guelph, Canada, 2016, 448 p.</w:t>
      </w:r>
    </w:p>
    <w:p w14:paraId="12B2650C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Сало Я.М.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обслуговування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населення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на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підприємствах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ресторанного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сервісу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Ресторанна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справа.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Довідник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офіціанта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/ Я.М. Сало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Львів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Афіша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– 2007. – 327 с.</w:t>
      </w:r>
    </w:p>
    <w:p w14:paraId="60DB322F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Світлична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М.Л.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виробництва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обслуговування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на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підприємствах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громадського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Навчальний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Житомир:М.А.К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proofErr w:type="gram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– 2001. – 192 с.</w:t>
      </w:r>
    </w:p>
    <w:p w14:paraId="54211116" w14:textId="77777777" w:rsidR="00171C6A" w:rsidRPr="00171C6A" w:rsidRDefault="00171C6A" w:rsidP="00171C6A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Черевко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О.І.,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Малюк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Л.П., Дейниченко Г.В.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Збірник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нормативних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документів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державного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регулювання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у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сфері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ресторанного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бізнесу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Харків</w:t>
      </w:r>
      <w:proofErr w:type="spellEnd"/>
      <w:r w:rsidRPr="00171C6A">
        <w:rPr>
          <w:rFonts w:asciiTheme="majorHAnsi" w:hAnsiTheme="majorHAnsi" w:cstheme="majorHAnsi"/>
          <w:sz w:val="24"/>
          <w:szCs w:val="24"/>
          <w:shd w:val="clear" w:color="auto" w:fill="FFFFFF"/>
        </w:rPr>
        <w:t>: ПКФ “Фавор ЛТД”, 2003. – 440 с.</w:t>
      </w:r>
    </w:p>
    <w:p w14:paraId="21C8F910" w14:textId="58BAC274" w:rsidR="00B77081" w:rsidRPr="00B77081" w:rsidRDefault="00B77081" w:rsidP="00171C6A">
      <w:pPr>
        <w:pStyle w:val="a5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pacing w:val="-6"/>
          <w:sz w:val="24"/>
          <w:szCs w:val="24"/>
        </w:rPr>
      </w:pPr>
    </w:p>
    <w:p w14:paraId="36079170" w14:textId="77777777" w:rsidR="00B77081" w:rsidRPr="00B77081" w:rsidRDefault="00B77081" w:rsidP="00B77081">
      <w:pPr>
        <w:shd w:val="clear" w:color="auto" w:fill="FFFFFF"/>
        <w:spacing w:after="0" w:line="360" w:lineRule="auto"/>
        <w:jc w:val="center"/>
        <w:rPr>
          <w:rFonts w:asciiTheme="majorHAnsi" w:hAnsiTheme="majorHAnsi" w:cstheme="majorHAnsi"/>
          <w:b/>
          <w:bCs/>
          <w:spacing w:val="-6"/>
          <w:sz w:val="24"/>
          <w:szCs w:val="24"/>
        </w:rPr>
      </w:pPr>
      <w:proofErr w:type="spellStart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>Допоміжна</w:t>
      </w:r>
      <w:proofErr w:type="spellEnd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 xml:space="preserve"> </w:t>
      </w:r>
      <w:proofErr w:type="spellStart"/>
      <w:r w:rsidRPr="00B77081">
        <w:rPr>
          <w:rFonts w:asciiTheme="majorHAnsi" w:hAnsiTheme="majorHAnsi" w:cstheme="majorHAnsi"/>
          <w:b/>
          <w:bCs/>
          <w:spacing w:val="-6"/>
          <w:sz w:val="24"/>
          <w:szCs w:val="24"/>
        </w:rPr>
        <w:t>література</w:t>
      </w:r>
      <w:proofErr w:type="spellEnd"/>
    </w:p>
    <w:p w14:paraId="2563CC55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Аветисова А.О. Напрямки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основних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секторів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наук. пр. Вип.19, т. 3 / голов. ред. О.О.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2005. – С. 147-151.</w:t>
      </w:r>
    </w:p>
    <w:p w14:paraId="00A29187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Аветисова А., Сорока С. До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питання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класифікації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туристичній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галузі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наук.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праць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Вип.13. Т. ІІ. / голов. ред. О.О.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2002. - С. 329-335. </w:t>
      </w:r>
    </w:p>
    <w:p w14:paraId="77B5A7CE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Аветисова А.О.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Ресторанне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господарство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новий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етап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16. т. ІІ. / голов. ред. О.О.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2004. - С. 315-320. </w:t>
      </w:r>
    </w:p>
    <w:p w14:paraId="0EF379C9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lastRenderedPageBreak/>
        <w:t xml:space="preserve">Антонова В.А.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Концепція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економічного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ринку //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19, т. 3 / Голов. ред. О.О.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2005. – С. 152-156. </w:t>
      </w:r>
    </w:p>
    <w:p w14:paraId="2D93BAE9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Проблеми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формування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конкурентоспроможності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сучасних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економічних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наук.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праць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Відп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ред. І.В. Сорока.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ТОВ „КІТІС”, 1998. - С. 116-119. </w:t>
      </w:r>
    </w:p>
    <w:p w14:paraId="17763A8A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Антонова В.А.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Підприємства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в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умовах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економічного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розвитку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Торгівля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ринок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Темат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наук. пр.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Вип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16. т. ІІ. / Голов. ред. О.О.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Шубін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Донецьк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ДонДУЕТ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2004. - С. 320-326.</w:t>
      </w:r>
    </w:p>
    <w:p w14:paraId="2DB074F5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Акопій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В.В.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технологія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надання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Акопій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В.В.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Академія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2006. – 312 с. </w:t>
      </w:r>
    </w:p>
    <w:p w14:paraId="6583B704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Вітряк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О.П.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Технологія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безалкогольних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напоїв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Підруч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/ В.Л.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Прибильський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О.П.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Вітряк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З.М. Романова, В.М. Сидор та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ін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/За ред. проф. В.Л.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Прибильського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. – К.: НУХТ, 2014. – 310 с.</w:t>
      </w:r>
    </w:p>
    <w:p w14:paraId="0910F065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Л.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Правове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регулювання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захисту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/ Л.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К.: КНТЕУ, 2008. – 258 с. </w:t>
      </w:r>
    </w:p>
    <w:p w14:paraId="69E3014B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Л.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Захист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прав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споживачів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підручник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 Л.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Іваненко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О.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Язвінська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К.: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Юрінком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Інтер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2014. – 496 с.</w:t>
      </w:r>
    </w:p>
    <w:p w14:paraId="44B599B3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Гурова К.Д.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Цілеспрямованість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маркетингових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досліджень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у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сфері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громадського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// Маркетинг: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теорія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практика.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: КНЕУ, 1999. – С. 62-63.</w:t>
      </w:r>
    </w:p>
    <w:p w14:paraId="05D640BF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Варналій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З. С.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Основи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підприємництва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— 2-ге </w:t>
      </w:r>
      <w:proofErr w:type="gramStart"/>
      <w:r w:rsidRPr="00171C6A">
        <w:rPr>
          <w:rFonts w:asciiTheme="majorHAnsi" w:hAnsiTheme="majorHAnsi" w:cstheme="majorHAnsi"/>
          <w:sz w:val="24"/>
          <w:szCs w:val="24"/>
        </w:rPr>
        <w:t>вид.,</w:t>
      </w:r>
      <w:proofErr w:type="gram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випр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і доп. — К.: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Знання-Прес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2003. — 285 с.</w:t>
      </w:r>
    </w:p>
    <w:p w14:paraId="077E9544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Власова Н. 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Оцінка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ефективності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господарсько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фінансової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діяльності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підприємств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громадського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Навчальний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держ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академія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технол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та орг.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Харків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1998. – 127 с.</w:t>
      </w:r>
    </w:p>
    <w:p w14:paraId="1E30F5D2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Зубар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Н.М.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Фізіологія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харчування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Практикум: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Н.М.Зубар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Ю.В.  Руль, А.В. Булгакова. – К.: Центр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учбової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літератури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2011. – 258 с.</w:t>
      </w:r>
    </w:p>
    <w:p w14:paraId="575341E5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Л. 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Моніторинг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світового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ринку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готельних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ресторанних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послуг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навчальний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 Л. О.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О. 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Музика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; МОН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України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Укоопспілка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proofErr w:type="gramStart"/>
      <w:r w:rsidRPr="00171C6A">
        <w:rPr>
          <w:rFonts w:asciiTheme="majorHAnsi" w:hAnsiTheme="majorHAnsi" w:cstheme="majorHAnsi"/>
          <w:sz w:val="24"/>
          <w:szCs w:val="24"/>
        </w:rPr>
        <w:t>Львів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Магнолія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2016. – 226 с.</w:t>
      </w:r>
    </w:p>
    <w:p w14:paraId="3013C868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О.,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Капліна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Т.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Санітарія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та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гігієна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закладів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ресторанного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господарства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Іванова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О.,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Капліна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Т. – Київ:2010.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Видавництво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Університетська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книга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Київ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: 2010 – 200 с.</w:t>
      </w:r>
    </w:p>
    <w:p w14:paraId="01FC0BF0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Коваль З.О.,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Тивончук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О.І.,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Підприємництво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і менеджмент: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посібник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Львів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Видво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НУ «ЛП», 2009. – 172с.</w:t>
      </w:r>
    </w:p>
    <w:p w14:paraId="3D62949C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Кучеренко В.Р., Доброва Н.В.,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Квач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Я.П.,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Осіпова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М.М.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Основи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бізнесу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Практичний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курс (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зб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вправ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, задач,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тестів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Навч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посіб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/ За ред. В.Р.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Кучеренка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– К: Центр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учб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літ-ри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, 2010. – 176 с.</w:t>
      </w:r>
    </w:p>
    <w:p w14:paraId="09EBF4C7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71C6A">
        <w:rPr>
          <w:rFonts w:asciiTheme="majorHAnsi" w:hAnsiTheme="majorHAnsi" w:cstheme="majorHAnsi"/>
          <w:sz w:val="24"/>
          <w:szCs w:val="24"/>
        </w:rPr>
        <w:t xml:space="preserve">Литвиненко Т.Є.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Особливості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організації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дипломатичних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прийомів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/ Т. Є. Литвиненко. – К: КНТЕУ, 2005. – 96 с.</w:t>
      </w:r>
    </w:p>
    <w:p w14:paraId="3C1A2114" w14:textId="77777777" w:rsidR="00171C6A" w:rsidRPr="00171C6A" w:rsidRDefault="00171C6A" w:rsidP="00171C6A">
      <w:pPr>
        <w:pStyle w:val="a5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Малюк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Л.П.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Організація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роботи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бармена. /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Малюк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Л.П.,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Усіна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 xml:space="preserve"> А.І., Полстяная Н.В., Кононенко Т.П. – </w:t>
      </w:r>
      <w:proofErr w:type="spellStart"/>
      <w:r w:rsidRPr="00171C6A">
        <w:rPr>
          <w:rFonts w:asciiTheme="majorHAnsi" w:hAnsiTheme="majorHAnsi" w:cstheme="majorHAnsi"/>
          <w:sz w:val="24"/>
          <w:szCs w:val="24"/>
        </w:rPr>
        <w:t>Харків</w:t>
      </w:r>
      <w:proofErr w:type="spellEnd"/>
      <w:r w:rsidRPr="00171C6A">
        <w:rPr>
          <w:rFonts w:asciiTheme="majorHAnsi" w:hAnsiTheme="majorHAnsi" w:cstheme="majorHAnsi"/>
          <w:sz w:val="24"/>
          <w:szCs w:val="24"/>
        </w:rPr>
        <w:t>: ХДАТОХ, 2002. – 214 с.</w:t>
      </w:r>
    </w:p>
    <w:p w14:paraId="73230DBC" w14:textId="77777777" w:rsidR="00B77081" w:rsidRDefault="00B77081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173CB3D" w14:textId="77777777" w:rsidR="00171C6A" w:rsidRDefault="00171C6A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248CE3B" w14:textId="77777777" w:rsidR="00171C6A" w:rsidRDefault="00171C6A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E1C9CEE" w14:textId="77777777" w:rsidR="00171C6A" w:rsidRDefault="00171C6A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ABD14BA" w14:textId="77777777" w:rsidR="00171C6A" w:rsidRDefault="00171C6A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2D0FB3C" w14:textId="77777777" w:rsidR="00171C6A" w:rsidRDefault="00171C6A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6431A91" w14:textId="77777777" w:rsidR="00171C6A" w:rsidRPr="00171C6A" w:rsidRDefault="00171C6A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2D2DA1D" w14:textId="77777777" w:rsidR="00B77081" w:rsidRPr="001970F6" w:rsidRDefault="00B77081" w:rsidP="00B7708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DCF2D28" w14:textId="77777777" w:rsidR="00445790" w:rsidRPr="00171C6A" w:rsidRDefault="00445790" w:rsidP="000E4EAE">
      <w:pPr>
        <w:spacing w:after="0" w:line="24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uk-UA"/>
        </w:rPr>
      </w:pPr>
      <w:r w:rsidRPr="00171C6A">
        <w:rPr>
          <w:rFonts w:asciiTheme="majorHAnsi" w:hAnsiTheme="majorHAnsi"/>
          <w:b/>
          <w:color w:val="FF0000"/>
          <w:sz w:val="24"/>
          <w:szCs w:val="24"/>
          <w:lang w:val="uk-UA"/>
        </w:rPr>
        <w:lastRenderedPageBreak/>
        <w:t>Політика оцінювання</w:t>
      </w:r>
    </w:p>
    <w:p w14:paraId="00041846" w14:textId="77777777" w:rsidR="00445790" w:rsidRPr="00171C6A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171C6A">
        <w:rPr>
          <w:rFonts w:asciiTheme="majorHAnsi" w:hAnsiTheme="majorHAnsi"/>
          <w:sz w:val="24"/>
          <w:szCs w:val="24"/>
          <w:lang w:val="uk-UA"/>
        </w:rPr>
        <w:t xml:space="preserve">● Політика щодо </w:t>
      </w:r>
      <w:proofErr w:type="spellStart"/>
      <w:r w:rsidRPr="00171C6A">
        <w:rPr>
          <w:rFonts w:asciiTheme="majorHAnsi" w:hAnsiTheme="majorHAnsi"/>
          <w:sz w:val="24"/>
          <w:szCs w:val="24"/>
          <w:lang w:val="uk-UA"/>
        </w:rPr>
        <w:t>дедлайнів</w:t>
      </w:r>
      <w:proofErr w:type="spellEnd"/>
      <w:r w:rsidRPr="00171C6A">
        <w:rPr>
          <w:rFonts w:asciiTheme="majorHAnsi" w:hAnsiTheme="majorHAnsi"/>
          <w:sz w:val="24"/>
          <w:szCs w:val="24"/>
          <w:lang w:val="uk-UA"/>
        </w:rPr>
        <w:t xml:space="preserve"> та перескладання: Роботи, які здаються із порушенням термінів</w:t>
      </w:r>
    </w:p>
    <w:p w14:paraId="3823E682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без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причин,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оцінюються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Pr="000E4EAE">
        <w:rPr>
          <w:rFonts w:asciiTheme="majorHAnsi" w:hAnsiTheme="majorHAnsi"/>
          <w:sz w:val="24"/>
          <w:szCs w:val="24"/>
        </w:rPr>
        <w:t>нижчу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оцінку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(75%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можливої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максимальної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кількості</w:t>
      </w:r>
      <w:proofErr w:type="spellEnd"/>
    </w:p>
    <w:p w14:paraId="544EE218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за вид </w:t>
      </w:r>
      <w:proofErr w:type="spellStart"/>
      <w:r w:rsidRPr="000E4EAE">
        <w:rPr>
          <w:rFonts w:asciiTheme="majorHAnsi" w:hAnsiTheme="majorHAnsi"/>
          <w:sz w:val="24"/>
          <w:szCs w:val="24"/>
        </w:rPr>
        <w:t>діяльності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балів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0E4EAE">
        <w:rPr>
          <w:rFonts w:asciiTheme="majorHAnsi" w:hAnsiTheme="majorHAnsi"/>
          <w:sz w:val="24"/>
          <w:szCs w:val="24"/>
        </w:rPr>
        <w:t>Перескладання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модулів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відбувається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із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дозволу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деканату за</w:t>
      </w:r>
    </w:p>
    <w:p w14:paraId="71448463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наявності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поважних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причин (</w:t>
      </w:r>
      <w:proofErr w:type="spellStart"/>
      <w:r w:rsidRPr="000E4EAE">
        <w:rPr>
          <w:rFonts w:asciiTheme="majorHAnsi" w:hAnsiTheme="majorHAnsi"/>
          <w:sz w:val="24"/>
          <w:szCs w:val="24"/>
        </w:rPr>
        <w:t>наприклад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E4EAE">
        <w:rPr>
          <w:rFonts w:asciiTheme="majorHAnsi" w:hAnsiTheme="majorHAnsi"/>
          <w:sz w:val="24"/>
          <w:szCs w:val="24"/>
        </w:rPr>
        <w:t>лікарняний</w:t>
      </w:r>
      <w:proofErr w:type="spellEnd"/>
      <w:r w:rsidRPr="000E4EAE">
        <w:rPr>
          <w:rFonts w:asciiTheme="majorHAnsi" w:hAnsiTheme="majorHAnsi"/>
          <w:sz w:val="24"/>
          <w:szCs w:val="24"/>
        </w:rPr>
        <w:t>).</w:t>
      </w:r>
    </w:p>
    <w:p w14:paraId="6C97C9B7" w14:textId="77777777" w:rsidR="00445790" w:rsidRPr="000E4EAE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E4EAE">
        <w:rPr>
          <w:rFonts w:asciiTheme="majorHAnsi" w:hAnsiTheme="majorHAnsi"/>
          <w:sz w:val="24"/>
          <w:szCs w:val="24"/>
        </w:rPr>
        <w:t xml:space="preserve">● </w:t>
      </w:r>
      <w:proofErr w:type="spellStart"/>
      <w:r w:rsidRPr="000E4EAE">
        <w:rPr>
          <w:rFonts w:asciiTheme="majorHAnsi" w:hAnsiTheme="majorHAnsi"/>
          <w:sz w:val="24"/>
          <w:szCs w:val="24"/>
        </w:rPr>
        <w:t>Політика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щодо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академічної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доброчесності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0E4EAE">
        <w:rPr>
          <w:rFonts w:asciiTheme="majorHAnsi" w:hAnsiTheme="majorHAnsi"/>
          <w:sz w:val="24"/>
          <w:szCs w:val="24"/>
        </w:rPr>
        <w:t>Списування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</w:t>
      </w:r>
      <w:proofErr w:type="spellStart"/>
      <w:r w:rsidRPr="000E4EAE">
        <w:rPr>
          <w:rFonts w:asciiTheme="majorHAnsi" w:hAnsiTheme="majorHAnsi"/>
          <w:sz w:val="24"/>
          <w:szCs w:val="24"/>
        </w:rPr>
        <w:t>контрольних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робіт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</w:t>
      </w:r>
    </w:p>
    <w:p w14:paraId="16226626" w14:textId="77777777" w:rsidR="00445790" w:rsidRDefault="00445790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0E4EAE">
        <w:rPr>
          <w:rFonts w:asciiTheme="majorHAnsi" w:hAnsiTheme="majorHAnsi"/>
          <w:sz w:val="24"/>
          <w:szCs w:val="24"/>
        </w:rPr>
        <w:t>е</w:t>
      </w:r>
      <w:r w:rsidR="0086038C" w:rsidRPr="000E4EAE">
        <w:rPr>
          <w:rFonts w:asciiTheme="majorHAnsi" w:hAnsiTheme="majorHAnsi"/>
          <w:sz w:val="24"/>
          <w:szCs w:val="24"/>
        </w:rPr>
        <w:t>кзаменів</w:t>
      </w:r>
      <w:proofErr w:type="spellEnd"/>
      <w:r w:rsidR="0086038C"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6038C" w:rsidRPr="000E4EAE">
        <w:rPr>
          <w:rFonts w:asciiTheme="majorHAnsi" w:hAnsiTheme="majorHAnsi"/>
          <w:sz w:val="24"/>
          <w:szCs w:val="24"/>
        </w:rPr>
        <w:t>заборонені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0E4EAE">
        <w:rPr>
          <w:rFonts w:asciiTheme="majorHAnsi" w:hAnsiTheme="majorHAnsi"/>
          <w:sz w:val="24"/>
          <w:szCs w:val="24"/>
        </w:rPr>
        <w:t>Мобільні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пристрої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дозволяється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використовувати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лише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час </w:t>
      </w:r>
      <w:proofErr w:type="gramStart"/>
      <w:r w:rsidRPr="000E4EAE">
        <w:rPr>
          <w:rFonts w:asciiTheme="majorHAnsi" w:hAnsiTheme="majorHAnsi"/>
          <w:sz w:val="24"/>
          <w:szCs w:val="24"/>
        </w:rPr>
        <w:t>он-</w:t>
      </w:r>
      <w:proofErr w:type="spellStart"/>
      <w:r w:rsidRPr="000E4EAE">
        <w:rPr>
          <w:rFonts w:asciiTheme="majorHAnsi" w:hAnsiTheme="majorHAnsi"/>
          <w:sz w:val="24"/>
          <w:szCs w:val="24"/>
        </w:rPr>
        <w:t>лайн</w:t>
      </w:r>
      <w:proofErr w:type="spellEnd"/>
      <w:proofErr w:type="gram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тестування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та </w:t>
      </w:r>
      <w:proofErr w:type="spellStart"/>
      <w:r w:rsidRPr="000E4EAE">
        <w:rPr>
          <w:rFonts w:asciiTheme="majorHAnsi" w:hAnsiTheme="majorHAnsi"/>
          <w:sz w:val="24"/>
          <w:szCs w:val="24"/>
        </w:rPr>
        <w:t>підготовки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практичних</w:t>
      </w:r>
      <w:proofErr w:type="spellEnd"/>
      <w:r w:rsidR="0086038C" w:rsidRPr="000E4EAE">
        <w:rPr>
          <w:rFonts w:asciiTheme="majorHAnsi" w:hAnsiTheme="majorHAnsi"/>
          <w:sz w:val="24"/>
          <w:szCs w:val="24"/>
          <w:lang w:val="uk-UA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завдань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0E4EAE">
        <w:rPr>
          <w:rFonts w:asciiTheme="majorHAnsi" w:hAnsiTheme="majorHAnsi"/>
          <w:sz w:val="24"/>
          <w:szCs w:val="24"/>
        </w:rPr>
        <w:t>процесі</w:t>
      </w:r>
      <w:proofErr w:type="spellEnd"/>
      <w:r w:rsidRPr="000E4EA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E4EAE">
        <w:rPr>
          <w:rFonts w:asciiTheme="majorHAnsi" w:hAnsiTheme="majorHAnsi"/>
          <w:sz w:val="24"/>
          <w:szCs w:val="24"/>
        </w:rPr>
        <w:t>заняття</w:t>
      </w:r>
      <w:proofErr w:type="spellEnd"/>
      <w:r w:rsidRPr="000E4EAE">
        <w:rPr>
          <w:rFonts w:asciiTheme="majorHAnsi" w:hAnsiTheme="majorHAnsi"/>
          <w:sz w:val="24"/>
          <w:szCs w:val="24"/>
        </w:rPr>
        <w:t>.</w:t>
      </w:r>
    </w:p>
    <w:p w14:paraId="40B56C3D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062EFD" w14:textId="77777777" w:rsidR="000E4EAE" w:rsidRPr="000E4EAE" w:rsidRDefault="000E4EAE" w:rsidP="000E4EAE">
      <w:pPr>
        <w:spacing w:after="0" w:line="240" w:lineRule="auto"/>
        <w:jc w:val="center"/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74556B0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95"/>
        <w:gridCol w:w="1092"/>
        <w:gridCol w:w="4140"/>
      </w:tblGrid>
      <w:tr w:rsidR="00B65032" w:rsidRPr="000E4EAE" w14:paraId="1363FD75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1B48F3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53CA4FC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65032" w:rsidRPr="000E4EAE" w14:paraId="4A9309E2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DFF3BC1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A45B8A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A3DD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65032" w:rsidRPr="000E4EAE" w14:paraId="5031896E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5EF1093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F5B9957" w14:textId="574FD72B" w:rsidR="00B65032" w:rsidRPr="000E4EAE" w:rsidRDefault="001910A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7273" w14:textId="3700EACA" w:rsidR="00B65032" w:rsidRPr="000E4EAE" w:rsidRDefault="001910A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7</w:t>
            </w:r>
            <w:r w:rsidR="00B65032" w:rsidRPr="000E4EAE">
              <w:rPr>
                <w:rFonts w:asciiTheme="majorHAnsi" w:hAnsiTheme="majorHAnsi"/>
                <w:sz w:val="24"/>
                <w:szCs w:val="24"/>
                <w:lang w:val="uk-UA"/>
              </w:rPr>
              <w:t>0</w:t>
            </w:r>
          </w:p>
        </w:tc>
      </w:tr>
      <w:tr w:rsidR="00B65032" w:rsidRPr="000E4EAE" w14:paraId="7A244606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7723122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12D3959C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343F" w14:textId="521881C9" w:rsidR="00B65032" w:rsidRPr="000E4EAE" w:rsidRDefault="001910A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sz w:val="24"/>
                <w:szCs w:val="24"/>
                <w:lang w:val="uk-UA"/>
              </w:rPr>
              <w:t>3</w:t>
            </w:r>
            <w:r w:rsidR="00B65032" w:rsidRPr="000E4EAE">
              <w:rPr>
                <w:rFonts w:asciiTheme="majorHAnsi" w:hAnsiTheme="majorHAnsi"/>
                <w:sz w:val="24"/>
                <w:szCs w:val="24"/>
                <w:lang w:val="uk-UA"/>
              </w:rPr>
              <w:t>0</w:t>
            </w:r>
          </w:p>
        </w:tc>
      </w:tr>
      <w:tr w:rsidR="00B65032" w:rsidRPr="000E4EAE" w14:paraId="06975834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5C9F5F05" w14:textId="77777777" w:rsidR="00B65032" w:rsidRPr="000E4EAE" w:rsidRDefault="00B65032" w:rsidP="000E4EAE">
            <w:pPr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690D32FB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A69C42A" w14:textId="77777777" w:rsidR="00B65032" w:rsidRPr="000E4EAE" w:rsidRDefault="00B65032" w:rsidP="000E4EAE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0E4EAE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771F674E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/>
          <w:sz w:val="24"/>
          <w:szCs w:val="24"/>
          <w:lang w:val="uk-UA"/>
        </w:rPr>
      </w:pPr>
    </w:p>
    <w:p w14:paraId="0ACAFFD1" w14:textId="77777777" w:rsidR="000E4EAE" w:rsidRPr="000E4EAE" w:rsidRDefault="000E4EAE" w:rsidP="000E4EAE">
      <w:pPr>
        <w:spacing w:after="0" w:line="240" w:lineRule="auto"/>
        <w:rPr>
          <w:rFonts w:asciiTheme="majorHAnsi" w:hAnsiTheme="majorHAnsi"/>
          <w:b/>
          <w:iCs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Cs/>
          <w:sz w:val="24"/>
          <w:szCs w:val="24"/>
          <w:lang w:val="uk-UA"/>
        </w:rPr>
        <w:t>Критерії оцінювання м</w:t>
      </w:r>
      <w:bookmarkStart w:id="0" w:name="_GoBack"/>
      <w:bookmarkEnd w:id="0"/>
      <w:r w:rsidRPr="000E4EAE">
        <w:rPr>
          <w:rFonts w:asciiTheme="majorHAnsi" w:hAnsiTheme="majorHAnsi"/>
          <w:b/>
          <w:iCs/>
          <w:sz w:val="24"/>
          <w:szCs w:val="24"/>
          <w:lang w:val="uk-UA"/>
        </w:rPr>
        <w:t>одульної контрольної роботи</w:t>
      </w:r>
    </w:p>
    <w:p w14:paraId="28C4BEBB" w14:textId="25E90C89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t>Оцінювання модульних завдань.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</w:t>
      </w:r>
      <w:r w:rsidR="001910A2">
        <w:rPr>
          <w:rFonts w:asciiTheme="majorHAnsi" w:hAnsiTheme="majorHAnsi"/>
          <w:sz w:val="24"/>
          <w:szCs w:val="24"/>
          <w:lang w:val="uk-UA"/>
        </w:rPr>
        <w:t>3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0 балів. </w:t>
      </w:r>
    </w:p>
    <w:p w14:paraId="1ED5E28E" w14:textId="2E3395DB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b/>
          <w:i/>
          <w:sz w:val="24"/>
          <w:szCs w:val="24"/>
          <w:lang w:val="uk-UA"/>
        </w:rPr>
        <w:t xml:space="preserve">Оцінювання систематичності та активності роботи студента.  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знань, дане оцінювання здійснюється в межах від 0 до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>0 балів.</w:t>
      </w:r>
    </w:p>
    <w:p w14:paraId="0E61142A" w14:textId="48A775F3" w:rsidR="000E4EAE" w:rsidRPr="000E4EAE" w:rsidRDefault="000E4EAE" w:rsidP="000E4EA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uk-UA"/>
        </w:rPr>
      </w:pPr>
      <w:r w:rsidRPr="000E4EAE">
        <w:rPr>
          <w:rFonts w:asciiTheme="majorHAnsi" w:hAnsiTheme="majorHAnsi"/>
          <w:sz w:val="24"/>
          <w:szCs w:val="24"/>
          <w:lang w:val="uk-UA"/>
        </w:rPr>
        <w:t xml:space="preserve">Студент, який в результаті поточного оцінювання або підсумкового контролю за модулем отримав більше </w:t>
      </w:r>
      <w:r w:rsidR="001910A2">
        <w:rPr>
          <w:rFonts w:asciiTheme="majorHAnsi" w:hAnsiTheme="majorHAnsi"/>
          <w:sz w:val="24"/>
          <w:szCs w:val="24"/>
          <w:lang w:val="uk-UA"/>
        </w:rPr>
        <w:t>7</w:t>
      </w:r>
      <w:r w:rsidRPr="000E4EAE">
        <w:rPr>
          <w:rFonts w:asciiTheme="majorHAnsi" w:hAnsiTheme="majorHAnsi"/>
          <w:sz w:val="24"/>
          <w:szCs w:val="24"/>
          <w:lang w:val="uk-UA"/>
        </w:rPr>
        <w:t xml:space="preserve">0 балів, має право не складати іспит з дисципліни. У такому випадку в </w:t>
      </w:r>
      <w:proofErr w:type="spellStart"/>
      <w:r w:rsidRPr="000E4EAE">
        <w:rPr>
          <w:rFonts w:asciiTheme="majorHAnsi" w:hAnsiTheme="majorHAnsi"/>
          <w:sz w:val="24"/>
          <w:szCs w:val="24"/>
          <w:lang w:val="uk-UA"/>
        </w:rPr>
        <w:t>заліково</w:t>
      </w:r>
      <w:proofErr w:type="spellEnd"/>
      <w:r w:rsidRPr="000E4EAE">
        <w:rPr>
          <w:rFonts w:asciiTheme="majorHAnsi" w:hAnsiTheme="majorHAnsi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</w:p>
    <w:p w14:paraId="3D4F5A09" w14:textId="77777777" w:rsidR="00976CC8" w:rsidRPr="00AE2CFA" w:rsidRDefault="00976CC8" w:rsidP="000E4EAE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</w:p>
    <w:sectPr w:rsidR="00976CC8" w:rsidRPr="00AE2CFA" w:rsidSect="000E4E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4882"/>
    <w:multiLevelType w:val="hybridMultilevel"/>
    <w:tmpl w:val="B504F4E2"/>
    <w:lvl w:ilvl="0" w:tplc="08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44F26"/>
    <w:multiLevelType w:val="hybridMultilevel"/>
    <w:tmpl w:val="5100C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F647D"/>
    <w:multiLevelType w:val="hybridMultilevel"/>
    <w:tmpl w:val="AD4CD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64"/>
    <w:rsid w:val="000B557A"/>
    <w:rsid w:val="000E4EAE"/>
    <w:rsid w:val="00171C6A"/>
    <w:rsid w:val="00181A5C"/>
    <w:rsid w:val="001910A2"/>
    <w:rsid w:val="002A7B64"/>
    <w:rsid w:val="0031380C"/>
    <w:rsid w:val="00445790"/>
    <w:rsid w:val="004F35B7"/>
    <w:rsid w:val="007607C1"/>
    <w:rsid w:val="007F1AA9"/>
    <w:rsid w:val="00804A44"/>
    <w:rsid w:val="0086038C"/>
    <w:rsid w:val="009525A9"/>
    <w:rsid w:val="00976CC8"/>
    <w:rsid w:val="00A21F6D"/>
    <w:rsid w:val="00AE2CFA"/>
    <w:rsid w:val="00B65032"/>
    <w:rsid w:val="00B77081"/>
    <w:rsid w:val="00BC116F"/>
    <w:rsid w:val="00C3795E"/>
    <w:rsid w:val="00C70CA2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03"/>
  <w15:docId w15:val="{DDFFDA2C-A18B-4A43-A9E6-93B4257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79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CFA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AE2C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5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rsid w:val="000B557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0B55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B1CA-FB83-4F52-93F3-9BF828A2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8265</Words>
  <Characters>4712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Admin</cp:lastModifiedBy>
  <cp:revision>8</cp:revision>
  <dcterms:created xsi:type="dcterms:W3CDTF">2020-08-27T20:28:00Z</dcterms:created>
  <dcterms:modified xsi:type="dcterms:W3CDTF">2024-09-17T08:45:00Z</dcterms:modified>
</cp:coreProperties>
</file>