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EC" w:rsidRPr="005F5AEC" w:rsidRDefault="005F5AEC" w:rsidP="005F5AEC">
      <w:pPr>
        <w:shd w:val="clear" w:color="auto" w:fill="FFFFFF"/>
        <w:spacing w:after="180" w:line="240" w:lineRule="auto"/>
        <w:jc w:val="center"/>
        <w:outlineLvl w:val="1"/>
        <w:rPr>
          <w:rFonts w:ascii="Times New Roman" w:eastAsia="Times New Roman" w:hAnsi="Times New Roman" w:cs="Times New Roman"/>
          <w:color w:val="377300"/>
          <w:sz w:val="24"/>
          <w:szCs w:val="24"/>
          <w:lang w:val="en-US" w:eastAsia="ru-RU"/>
        </w:rPr>
      </w:pPr>
      <w:bookmarkStart w:id="0" w:name="eztoc1617229_0_1"/>
      <w:bookmarkEnd w:id="0"/>
      <w:proofErr w:type="spellStart"/>
      <w:proofErr w:type="gramStart"/>
      <w:r w:rsidRPr="005F5AEC">
        <w:rPr>
          <w:rFonts w:ascii="Times New Roman" w:eastAsia="Times New Roman" w:hAnsi="Times New Roman" w:cs="Times New Roman"/>
          <w:color w:val="377300"/>
          <w:sz w:val="24"/>
          <w:szCs w:val="24"/>
          <w:lang w:val="en-US" w:eastAsia="ru-RU"/>
        </w:rPr>
        <w:t>eUpdate</w:t>
      </w:r>
      <w:proofErr w:type="spellEnd"/>
      <w:proofErr w:type="gramEnd"/>
      <w:r w:rsidRPr="005F5AEC">
        <w:rPr>
          <w:rFonts w:ascii="Times New Roman" w:eastAsia="Times New Roman" w:hAnsi="Times New Roman" w:cs="Times New Roman"/>
          <w:color w:val="377300"/>
          <w:sz w:val="24"/>
          <w:szCs w:val="24"/>
          <w:lang w:val="en-US" w:eastAsia="ru-RU"/>
        </w:rPr>
        <w:t xml:space="preserve"> – Chronic Lymphocytic </w:t>
      </w:r>
      <w:proofErr w:type="spellStart"/>
      <w:r w:rsidRPr="005F5AEC">
        <w:rPr>
          <w:rFonts w:ascii="Times New Roman" w:eastAsia="Times New Roman" w:hAnsi="Times New Roman" w:cs="Times New Roman"/>
          <w:color w:val="377300"/>
          <w:sz w:val="24"/>
          <w:szCs w:val="24"/>
          <w:lang w:val="en-US" w:eastAsia="ru-RU"/>
        </w:rPr>
        <w:t>Leukaemia</w:t>
      </w:r>
      <w:proofErr w:type="spellEnd"/>
      <w:r w:rsidRPr="005F5AEC">
        <w:rPr>
          <w:rFonts w:ascii="Times New Roman" w:eastAsia="Times New Roman" w:hAnsi="Times New Roman" w:cs="Times New Roman"/>
          <w:color w:val="377300"/>
          <w:sz w:val="24"/>
          <w:szCs w:val="24"/>
          <w:lang w:val="en-US" w:eastAsia="ru-RU"/>
        </w:rPr>
        <w:t xml:space="preserve"> Treatment Recommendations</w:t>
      </w:r>
    </w:p>
    <w:p w:rsidR="005F5AEC" w:rsidRPr="005F5AEC" w:rsidRDefault="005F5AEC" w:rsidP="005F5AEC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proofErr w:type="gramStart"/>
      <w:r w:rsidRPr="005F5AEC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en-US" w:eastAsia="ru-RU"/>
        </w:rPr>
        <w:t>Published: 27 June 2017.</w:t>
      </w:r>
      <w:proofErr w:type="gramEnd"/>
      <w:r w:rsidRPr="005F5AEC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en-US" w:eastAsia="ru-RU"/>
        </w:rPr>
        <w:t> </w:t>
      </w: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Authors: ESM</w:t>
      </w:r>
      <w:bookmarkStart w:id="1" w:name="_GoBack"/>
      <w:bookmarkEnd w:id="1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O Guidelines Committee</w:t>
      </w:r>
    </w:p>
    <w:p w:rsidR="005F5AEC" w:rsidRPr="005F5AEC" w:rsidRDefault="005F5AEC" w:rsidP="005F5AEC">
      <w:pPr>
        <w:pBdr>
          <w:bottom w:val="single" w:sz="6" w:space="4" w:color="D7D8DD"/>
        </w:pBdr>
        <w:shd w:val="clear" w:color="auto" w:fill="FFFFFF"/>
        <w:spacing w:after="180" w:line="240" w:lineRule="auto"/>
        <w:jc w:val="center"/>
        <w:outlineLvl w:val="2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bookmarkStart w:id="2" w:name="eztoc1617229_0_1_1"/>
      <w:bookmarkEnd w:id="2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Clinical Practice Guidelines</w:t>
      </w:r>
    </w:p>
    <w:p w:rsidR="005F5AEC" w:rsidRPr="005F5AEC" w:rsidRDefault="005F5AEC" w:rsidP="005F5AEC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This update refers to the </w:t>
      </w:r>
      <w:hyperlink r:id="rId6" w:history="1"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 xml:space="preserve">Chronic lymphocytic </w:t>
        </w:r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>leukaemia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>: ESMO Clinical Practice Guidelines for diagnosis, treatment and follow-up</w:t>
        </w:r>
      </w:hyperlink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, 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Eichhorst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 B, 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Robak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 T, Montserrat P et al. 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Ann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Oncol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2015; 26 (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Suppl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5): v78-v84.</w:t>
      </w:r>
    </w:p>
    <w:p w:rsidR="005F5AEC" w:rsidRPr="005F5AEC" w:rsidRDefault="005F5AEC" w:rsidP="005F5AEC">
      <w:pPr>
        <w:shd w:val="clear" w:color="auto" w:fill="FFFFFF"/>
        <w:spacing w:after="180" w:line="240" w:lineRule="auto"/>
        <w:jc w:val="both"/>
        <w:outlineLvl w:val="1"/>
        <w:rPr>
          <w:rFonts w:ascii="Times New Roman" w:eastAsia="Times New Roman" w:hAnsi="Times New Roman" w:cs="Times New Roman"/>
          <w:color w:val="377300"/>
          <w:sz w:val="24"/>
          <w:szCs w:val="24"/>
          <w:lang w:eastAsia="ru-RU"/>
        </w:rPr>
      </w:pPr>
      <w:bookmarkStart w:id="3" w:name="eztoc1617229_0_2"/>
      <w:bookmarkEnd w:id="3"/>
      <w:proofErr w:type="spellStart"/>
      <w:r w:rsidRPr="005F5AEC">
        <w:rPr>
          <w:rFonts w:ascii="Times New Roman" w:eastAsia="Times New Roman" w:hAnsi="Times New Roman" w:cs="Times New Roman"/>
          <w:color w:val="377300"/>
          <w:sz w:val="24"/>
          <w:szCs w:val="24"/>
          <w:lang w:eastAsia="ru-RU"/>
        </w:rPr>
        <w:t>Update</w:t>
      </w:r>
      <w:proofErr w:type="spellEnd"/>
      <w:r w:rsidRPr="005F5AEC">
        <w:rPr>
          <w:rFonts w:ascii="Times New Roman" w:eastAsia="Times New Roman" w:hAnsi="Times New Roman" w:cs="Times New Roman"/>
          <w:color w:val="377300"/>
          <w:sz w:val="24"/>
          <w:szCs w:val="24"/>
          <w:lang w:eastAsia="ru-RU"/>
        </w:rPr>
        <w:t xml:space="preserve"> 1</w:t>
      </w:r>
    </w:p>
    <w:p w:rsidR="005F5AEC" w:rsidRPr="005F5AEC" w:rsidRDefault="005F5AEC" w:rsidP="005F5AEC">
      <w:pPr>
        <w:pBdr>
          <w:bottom w:val="single" w:sz="6" w:space="4" w:color="D7D8DD"/>
        </w:pBdr>
        <w:shd w:val="clear" w:color="auto" w:fill="FFFFFF"/>
        <w:spacing w:after="180" w:line="240" w:lineRule="auto"/>
        <w:jc w:val="both"/>
        <w:outlineLvl w:val="2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bookmarkStart w:id="4" w:name="eztoc1617229_0_2_2"/>
      <w:bookmarkEnd w:id="4"/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Section</w:t>
      </w:r>
      <w:proofErr w:type="spellEnd"/>
    </w:p>
    <w:p w:rsidR="005F5AEC" w:rsidRPr="005F5AEC" w:rsidRDefault="005F5AEC" w:rsidP="005F5AEC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Treatment of advanced disease stage - </w:t>
      </w:r>
      <w:r w:rsidRPr="005F5AEC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val="en-US" w:eastAsia="ru-RU"/>
        </w:rPr>
        <w:t>Front-line treatment</w:t>
      </w:r>
    </w:p>
    <w:p w:rsidR="005F5AEC" w:rsidRPr="005F5AEC" w:rsidRDefault="005F5AEC" w:rsidP="005F5AEC">
      <w:pPr>
        <w:pBdr>
          <w:bottom w:val="single" w:sz="6" w:space="4" w:color="D7D8DD"/>
        </w:pBdr>
        <w:shd w:val="clear" w:color="auto" w:fill="FFFFFF"/>
        <w:spacing w:after="180" w:line="240" w:lineRule="auto"/>
        <w:jc w:val="both"/>
        <w:outlineLvl w:val="2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bookmarkStart w:id="5" w:name="eztoc1617229_0_2_3"/>
      <w:bookmarkEnd w:id="5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Text update</w:t>
      </w:r>
    </w:p>
    <w:p w:rsidR="005F5AEC" w:rsidRPr="005F5AEC" w:rsidRDefault="005F5AEC" w:rsidP="005F5AEC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Patients with </w:t>
      </w:r>
      <w:r w:rsidRPr="005F5AEC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val="en-US" w:eastAsia="ru-RU"/>
        </w:rPr>
        <w:t>TP53</w:t>
      </w: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 deletion/mutation have a poor prognosis even after FCR therapy [1]. Therefore, it is recommended that patients with </w:t>
      </w:r>
      <w:r w:rsidRPr="005F5AEC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val="en-US" w:eastAsia="ru-RU"/>
        </w:rPr>
        <w:t>TP53</w:t>
      </w: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deletion/mutation are treated with 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ibrutinib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 in front-line [V, A]. Because of severe infectious complications, the PI3K inhibitor 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idelalisib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 combined with rituximab is only recommended for frontline therapy in patients not suitable for 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Btk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 inhibitors, if anti-infective prophylaxis is taken and measures to prevent infection are followed. Patients unsuitable for BCR inhibitor therapy may otherwise be treated with the BCL2 inhibitor 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venetoclax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 [2].</w:t>
      </w:r>
    </w:p>
    <w:p w:rsidR="005F5AEC" w:rsidRPr="005F5AEC" w:rsidRDefault="005F5AEC" w:rsidP="005F5AEC">
      <w:pPr>
        <w:pBdr>
          <w:bottom w:val="single" w:sz="6" w:space="4" w:color="D7D8DD"/>
        </w:pBdr>
        <w:shd w:val="clear" w:color="auto" w:fill="FFFFFF"/>
        <w:spacing w:after="180" w:line="240" w:lineRule="auto"/>
        <w:jc w:val="both"/>
        <w:outlineLvl w:val="2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bookmarkStart w:id="6" w:name="eztoc1617229_0_2_4"/>
      <w:bookmarkEnd w:id="6"/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Recommendation</w:t>
      </w:r>
      <w:proofErr w:type="spellEnd"/>
    </w:p>
    <w:p w:rsidR="005F5AEC" w:rsidRPr="005F5AEC" w:rsidRDefault="005F5AEC" w:rsidP="005F5AEC">
      <w:pPr>
        <w:numPr>
          <w:ilvl w:val="0"/>
          <w:numId w:val="1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Patients with </w:t>
      </w:r>
      <w:proofErr w:type="gramStart"/>
      <w:r w:rsidRPr="005F5AEC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val="en-US" w:eastAsia="ru-RU"/>
        </w:rPr>
        <w:t>del(</w:t>
      </w:r>
      <w:proofErr w:type="gramEnd"/>
      <w:r w:rsidRPr="005F5AEC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val="en-US" w:eastAsia="ru-RU"/>
        </w:rPr>
        <w:t>17p)</w:t>
      </w: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 or </w:t>
      </w:r>
      <w:r w:rsidRPr="005F5AEC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val="en-US" w:eastAsia="ru-RU"/>
        </w:rPr>
        <w:t>TP53</w:t>
      </w: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 mutation who are unsuitable for BCR inhibitor therapy may be treated with the BCL2 inhibitor 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venetoclax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. </w:t>
      </w:r>
    </w:p>
    <w:p w:rsidR="005F5AEC" w:rsidRPr="005F5AEC" w:rsidRDefault="005F5AEC" w:rsidP="005F5AEC">
      <w:pPr>
        <w:pBdr>
          <w:bottom w:val="single" w:sz="6" w:space="4" w:color="D7D8DD"/>
        </w:pBdr>
        <w:shd w:val="clear" w:color="auto" w:fill="FFFFFF"/>
        <w:spacing w:after="180" w:line="240" w:lineRule="auto"/>
        <w:jc w:val="both"/>
        <w:outlineLvl w:val="2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bookmarkStart w:id="7" w:name="eztoc1617229_0_2_5"/>
      <w:bookmarkEnd w:id="7"/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References</w:t>
      </w:r>
      <w:proofErr w:type="spellEnd"/>
    </w:p>
    <w:p w:rsidR="005F5AEC" w:rsidRPr="005F5AEC" w:rsidRDefault="005F5AEC" w:rsidP="005F5AEC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</w:pPr>
      <w:hyperlink r:id="rId7" w:tooltip="Read the article" w:history="1"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>Hallek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 xml:space="preserve"> M, Fischer K, </w:t>
        </w:r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>Fingerle-Rowson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 xml:space="preserve"> G et al. Addition of rituximab to </w:t>
        </w:r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>fludarabine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 xml:space="preserve"> and cyclophosphamide in patients with chronic lymphocytic leukemia: a </w:t>
        </w:r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>randomised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 xml:space="preserve">, open-label, phase III trial. </w:t>
        </w:r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eastAsia="ru-RU"/>
          </w:rPr>
          <w:t>Lancet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eastAsia="ru-RU"/>
          </w:rPr>
          <w:t xml:space="preserve"> 2010;  376: 1164-1174</w:t>
        </w:r>
      </w:hyperlink>
      <w:r w:rsidRPr="005F5AEC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</w:t>
      </w:r>
    </w:p>
    <w:p w:rsidR="005F5AEC" w:rsidRPr="005F5AEC" w:rsidRDefault="005F5AEC" w:rsidP="005F5AEC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val="en-US" w:eastAsia="ru-RU"/>
        </w:rPr>
      </w:pPr>
      <w:hyperlink r:id="rId8" w:tooltip="Read the article" w:history="1"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 xml:space="preserve">Roberts AW, </w:t>
        </w:r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>Davids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 xml:space="preserve"> MS, </w:t>
        </w:r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>Pagel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 xml:space="preserve"> JM et al. Targeting BCL2 with </w:t>
        </w:r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>venetoclax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 xml:space="preserve"> in relapsed chronic lymphocytic leukemia. N </w:t>
        </w:r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>Engl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 xml:space="preserve"> J Med 2016; 374: 311-322.</w:t>
        </w:r>
      </w:hyperlink>
    </w:p>
    <w:p w:rsidR="005F5AEC" w:rsidRPr="005F5AEC" w:rsidRDefault="005F5AEC" w:rsidP="005F5AEC">
      <w:pPr>
        <w:shd w:val="clear" w:color="auto" w:fill="FFFFFF"/>
        <w:spacing w:after="180" w:line="240" w:lineRule="auto"/>
        <w:jc w:val="both"/>
        <w:outlineLvl w:val="1"/>
        <w:rPr>
          <w:rFonts w:ascii="Times New Roman" w:eastAsia="Times New Roman" w:hAnsi="Times New Roman" w:cs="Times New Roman"/>
          <w:color w:val="377300"/>
          <w:sz w:val="24"/>
          <w:szCs w:val="24"/>
          <w:lang w:val="en-US" w:eastAsia="ru-RU"/>
        </w:rPr>
      </w:pPr>
      <w:bookmarkStart w:id="8" w:name="eztoc1617229_0_3"/>
      <w:bookmarkEnd w:id="8"/>
      <w:r w:rsidRPr="005F5AEC">
        <w:rPr>
          <w:rFonts w:ascii="Times New Roman" w:eastAsia="Times New Roman" w:hAnsi="Times New Roman" w:cs="Times New Roman"/>
          <w:color w:val="377300"/>
          <w:sz w:val="24"/>
          <w:szCs w:val="24"/>
          <w:lang w:val="en-US" w:eastAsia="ru-RU"/>
        </w:rPr>
        <w:t>Update 2</w:t>
      </w:r>
    </w:p>
    <w:p w:rsidR="005F5AEC" w:rsidRPr="005F5AEC" w:rsidRDefault="005F5AEC" w:rsidP="005F5AEC">
      <w:pPr>
        <w:pBdr>
          <w:bottom w:val="single" w:sz="6" w:space="4" w:color="D7D8DD"/>
        </w:pBdr>
        <w:shd w:val="clear" w:color="auto" w:fill="FFFFFF"/>
        <w:spacing w:after="180" w:line="240" w:lineRule="auto"/>
        <w:jc w:val="both"/>
        <w:outlineLvl w:val="2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bookmarkStart w:id="9" w:name="eztoc1617229_0_3_6"/>
      <w:bookmarkEnd w:id="9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Section</w:t>
      </w:r>
    </w:p>
    <w:p w:rsidR="005F5AEC" w:rsidRPr="005F5AEC" w:rsidRDefault="005F5AEC" w:rsidP="005F5AEC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Treatment of advanced disease stage – </w:t>
      </w:r>
      <w:r w:rsidRPr="005F5AEC">
        <w:rPr>
          <w:rFonts w:ascii="Times New Roman" w:eastAsia="Times New Roman" w:hAnsi="Times New Roman" w:cs="Times New Roman"/>
          <w:i/>
          <w:iCs/>
          <w:color w:val="3D3D3D"/>
          <w:sz w:val="24"/>
          <w:szCs w:val="24"/>
          <w:lang w:val="en-US" w:eastAsia="ru-RU"/>
        </w:rPr>
        <w:t>Treatment of relapsed and refractory disease</w:t>
      </w:r>
    </w:p>
    <w:p w:rsidR="005F5AEC" w:rsidRPr="005F5AEC" w:rsidRDefault="005F5AEC" w:rsidP="005F5AEC">
      <w:pPr>
        <w:pBdr>
          <w:bottom w:val="single" w:sz="6" w:space="4" w:color="D7D8DD"/>
        </w:pBdr>
        <w:shd w:val="clear" w:color="auto" w:fill="FFFFFF"/>
        <w:spacing w:after="180" w:line="240" w:lineRule="auto"/>
        <w:jc w:val="both"/>
        <w:outlineLvl w:val="2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bookmarkStart w:id="10" w:name="eztoc1617229_0_3_7"/>
      <w:bookmarkEnd w:id="10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Text update</w:t>
      </w:r>
    </w:p>
    <w:p w:rsidR="005F5AEC" w:rsidRPr="005F5AEC" w:rsidRDefault="005F5AEC" w:rsidP="005F5AEC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If relapse occurs within 24-36 months after 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chemoimmunotherapy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, or if the disease does not respond to any first-line therapy, the therapeutic regimen should be changed.</w:t>
      </w:r>
    </w:p>
    <w:p w:rsidR="005F5AEC" w:rsidRPr="005F5AEC" w:rsidRDefault="005F5AEC" w:rsidP="005F5AEC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Treatment options include [III, B]:</w:t>
      </w:r>
    </w:p>
    <w:p w:rsidR="005F5AEC" w:rsidRPr="005F5AEC" w:rsidRDefault="005F5AEC" w:rsidP="005F5AEC">
      <w:pPr>
        <w:numPr>
          <w:ilvl w:val="0"/>
          <w:numId w:val="3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Bruton’s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 tyrosine kinase (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Btk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) inhibitor 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ibrutinib</w:t>
      </w:r>
      <w:proofErr w:type="spellEnd"/>
    </w:p>
    <w:p w:rsidR="005F5AEC" w:rsidRPr="005F5AEC" w:rsidRDefault="005F5AEC" w:rsidP="005F5AEC">
      <w:pPr>
        <w:numPr>
          <w:ilvl w:val="0"/>
          <w:numId w:val="3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PI3K inhibitor 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idelalisib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 in combination with rituximab</w:t>
      </w:r>
    </w:p>
    <w:p w:rsidR="005F5AEC" w:rsidRPr="005F5AEC" w:rsidRDefault="005F5AEC" w:rsidP="005F5AEC">
      <w:pPr>
        <w:numPr>
          <w:ilvl w:val="0"/>
          <w:numId w:val="3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BCL2 antagonist 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venetoclax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 (if patient failed to BCR inhibitor therapy) [1]</w:t>
      </w:r>
    </w:p>
    <w:p w:rsidR="005F5AEC" w:rsidRPr="005F5AEC" w:rsidRDefault="005F5AEC" w:rsidP="005F5AEC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lastRenderedPageBreak/>
        <w:t xml:space="preserve">Other 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chemoimmunotherapy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 combinations should only be administered if TP53 deletion/mutation was excluded (Figure 2).</w:t>
      </w:r>
    </w:p>
    <w:p w:rsidR="005F5AEC" w:rsidRPr="005F5AEC" w:rsidRDefault="005F5AEC" w:rsidP="005F5AEC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Patients failing upon therapy with BCR inhibitors should preferentially be switched to a BCL2 antagonist when available. The second choice is a switch to another BCR inhibitor (e.g. from </w:t>
      </w:r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Btk</w:t>
      </w:r>
      <w:proofErr w:type="spellEnd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 xml:space="preserve"> inhibitor to PI3K inhibitor or vice versa). Fit patients achieving second remission following the second application of an inhibitor should proceed to allogeneic HSCT [V, B]. </w:t>
      </w:r>
    </w:p>
    <w:p w:rsidR="005F5AEC" w:rsidRPr="005F5AEC" w:rsidRDefault="005F5AEC" w:rsidP="005F5AEC">
      <w:pPr>
        <w:pBdr>
          <w:bottom w:val="single" w:sz="6" w:space="4" w:color="D7D8DD"/>
        </w:pBdr>
        <w:shd w:val="clear" w:color="auto" w:fill="FFFFFF"/>
        <w:spacing w:after="180" w:line="240" w:lineRule="auto"/>
        <w:jc w:val="both"/>
        <w:outlineLvl w:val="2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bookmarkStart w:id="11" w:name="eztoc1617229_0_3_8"/>
      <w:bookmarkEnd w:id="11"/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Recommendations</w:t>
      </w:r>
      <w:proofErr w:type="spellEnd"/>
    </w:p>
    <w:p w:rsidR="005F5AEC" w:rsidRPr="005F5AEC" w:rsidRDefault="005F5AEC" w:rsidP="005F5AEC">
      <w:pPr>
        <w:numPr>
          <w:ilvl w:val="0"/>
          <w:numId w:val="4"/>
        </w:numPr>
        <w:shd w:val="clear" w:color="auto" w:fill="FFFFFF"/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</w:pPr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val="en-US" w:eastAsia="ru-RU"/>
        </w:rPr>
        <w:t>Patients failing upon BCR inhibitor therapy should be treated with a BCL2 inhibitor. </w:t>
      </w:r>
    </w:p>
    <w:p w:rsidR="005F5AEC" w:rsidRPr="005F5AEC" w:rsidRDefault="005F5AEC" w:rsidP="005F5AEC">
      <w:pPr>
        <w:pBdr>
          <w:bottom w:val="single" w:sz="6" w:space="4" w:color="D7D8DD"/>
        </w:pBdr>
        <w:shd w:val="clear" w:color="auto" w:fill="FFFFFF"/>
        <w:spacing w:after="180" w:line="240" w:lineRule="auto"/>
        <w:jc w:val="both"/>
        <w:outlineLvl w:val="2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bookmarkStart w:id="12" w:name="eztoc1617229_0_3_9"/>
      <w:bookmarkEnd w:id="12"/>
      <w:proofErr w:type="spellStart"/>
      <w:r w:rsidRPr="005F5AEC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References</w:t>
      </w:r>
      <w:proofErr w:type="spellEnd"/>
    </w:p>
    <w:p w:rsidR="005F5AEC" w:rsidRPr="005F5AEC" w:rsidRDefault="005F5AEC" w:rsidP="005F5AEC">
      <w:pPr>
        <w:numPr>
          <w:ilvl w:val="0"/>
          <w:numId w:val="5"/>
        </w:numPr>
        <w:shd w:val="clear" w:color="auto" w:fill="FFFFFF"/>
        <w:spacing w:line="240" w:lineRule="auto"/>
        <w:ind w:left="600"/>
        <w:jc w:val="both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</w:pPr>
      <w:hyperlink r:id="rId9" w:tooltip="Read the article" w:history="1"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>Stilgenbauer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 xml:space="preserve"> S, </w:t>
        </w:r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>Eichhorst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 xml:space="preserve"> B, </w:t>
        </w:r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>Schetelig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 xml:space="preserve"> J et al. </w:t>
        </w:r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>Venetoclax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 xml:space="preserve"> in relapsed or refractory chronic lymphocytic </w:t>
        </w:r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>leukaemia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 xml:space="preserve"> with 17p deletion: a </w:t>
        </w:r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>multicentre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val="en-US" w:eastAsia="ru-RU"/>
          </w:rPr>
          <w:t xml:space="preserve">, open-label, phase 2 study. </w:t>
        </w:r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eastAsia="ru-RU"/>
          </w:rPr>
          <w:t>Lancet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eastAsia="ru-RU"/>
          </w:rPr>
          <w:t>Oncol</w:t>
        </w:r>
        <w:proofErr w:type="spellEnd"/>
        <w:r w:rsidRPr="005F5AEC">
          <w:rPr>
            <w:rFonts w:ascii="Times New Roman" w:eastAsia="Times New Roman" w:hAnsi="Times New Roman" w:cs="Times New Roman"/>
            <w:b/>
            <w:bCs/>
            <w:color w:val="1E325F"/>
            <w:sz w:val="24"/>
            <w:szCs w:val="24"/>
            <w:u w:val="single"/>
            <w:lang w:eastAsia="ru-RU"/>
          </w:rPr>
          <w:t xml:space="preserve"> 2016; 17: 768-778.</w:t>
        </w:r>
      </w:hyperlink>
    </w:p>
    <w:p w:rsidR="00A14E8E" w:rsidRPr="005F5AEC" w:rsidRDefault="00A14E8E" w:rsidP="005F5A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4E8E" w:rsidRPr="005F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37B"/>
    <w:multiLevelType w:val="multilevel"/>
    <w:tmpl w:val="D9BE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130C1"/>
    <w:multiLevelType w:val="multilevel"/>
    <w:tmpl w:val="48E8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B7723"/>
    <w:multiLevelType w:val="multilevel"/>
    <w:tmpl w:val="A802E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556ECD"/>
    <w:multiLevelType w:val="multilevel"/>
    <w:tmpl w:val="E6E0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5809E2"/>
    <w:multiLevelType w:val="multilevel"/>
    <w:tmpl w:val="B32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EC"/>
    <w:rsid w:val="005F5AEC"/>
    <w:rsid w:val="00A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5A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5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A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5A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A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F5AEC"/>
    <w:rPr>
      <w:color w:val="0000FF"/>
      <w:u w:val="single"/>
    </w:rPr>
  </w:style>
  <w:style w:type="character" w:styleId="a4">
    <w:name w:val="Strong"/>
    <w:basedOn w:val="a0"/>
    <w:uiPriority w:val="22"/>
    <w:qFormat/>
    <w:rsid w:val="005F5AEC"/>
    <w:rPr>
      <w:b/>
      <w:bCs/>
    </w:rPr>
  </w:style>
  <w:style w:type="paragraph" w:styleId="a5">
    <w:name w:val="Normal (Web)"/>
    <w:basedOn w:val="a"/>
    <w:uiPriority w:val="99"/>
    <w:semiHidden/>
    <w:unhideWhenUsed/>
    <w:rsid w:val="005F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5A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5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A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5A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A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F5AEC"/>
    <w:rPr>
      <w:color w:val="0000FF"/>
      <w:u w:val="single"/>
    </w:rPr>
  </w:style>
  <w:style w:type="character" w:styleId="a4">
    <w:name w:val="Strong"/>
    <w:basedOn w:val="a0"/>
    <w:uiPriority w:val="22"/>
    <w:qFormat/>
    <w:rsid w:val="005F5AEC"/>
    <w:rPr>
      <w:b/>
      <w:bCs/>
    </w:rPr>
  </w:style>
  <w:style w:type="paragraph" w:styleId="a5">
    <w:name w:val="Normal (Web)"/>
    <w:basedOn w:val="a"/>
    <w:uiPriority w:val="99"/>
    <w:semiHidden/>
    <w:unhideWhenUsed/>
    <w:rsid w:val="005F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6639348?dopt=Abstrac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cbi.nlm.nih.gov/pubmed/208889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mo.org/Guidelines/Haematological-Malignancies/Chronic-Lymphocytic-Leukaemi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27178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2017-09-05T18:45:00Z</dcterms:created>
  <dcterms:modified xsi:type="dcterms:W3CDTF">2017-09-05T18:46:00Z</dcterms:modified>
</cp:coreProperties>
</file>