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C22" w:rsidRPr="005F4C22" w:rsidRDefault="005F4C22" w:rsidP="007A066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F4C22">
        <w:rPr>
          <w:rFonts w:ascii="SchoolBookCTT" w:eastAsia="Times New Roman" w:hAnsi="SchoolBookCTT" w:cs="Times New Roman"/>
          <w:b/>
          <w:bCs/>
          <w:sz w:val="36"/>
          <w:szCs w:val="32"/>
          <w:lang w:val="uk-UA" w:eastAsia="ru-RU"/>
        </w:rPr>
        <w:t xml:space="preserve">ПЕРЕЛІК ПИТАНЬ </w:t>
      </w:r>
      <w:r w:rsidRPr="007A066B">
        <w:rPr>
          <w:rFonts w:ascii="SchoolBookCTT" w:eastAsia="Times New Roman" w:hAnsi="SchoolBookCTT" w:cs="Times New Roman"/>
          <w:b/>
          <w:bCs/>
          <w:sz w:val="36"/>
          <w:szCs w:val="32"/>
          <w:lang w:val="uk-UA" w:eastAsia="ru-RU"/>
        </w:rPr>
        <w:t>до контрольної з рецептури</w:t>
      </w:r>
    </w:p>
    <w:p w:rsidR="005F4C22" w:rsidRPr="005F4C22" w:rsidRDefault="005F4C22" w:rsidP="007A0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bookmarkStart w:id="0" w:name="_GoBack"/>
      <w:bookmarkEnd w:id="0"/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1.</w:t>
      </w:r>
      <w:r w:rsidRPr="007A066B">
        <w:rPr>
          <w:rFonts w:ascii="Times New Roman" w:eastAsia="Times New Roman" w:hAnsi="Times New Roman" w:cs="Times New Roman"/>
          <w:sz w:val="18"/>
          <w:szCs w:val="14"/>
          <w:lang w:val="uk-UA" w:eastAsia="ru-RU"/>
        </w:rPr>
        <w:t> </w:t>
      </w: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Визначення фармакології як науки та зв’язок її з іншими дисциплінами.</w:t>
      </w:r>
    </w:p>
    <w:p w:rsidR="005F4C22" w:rsidRPr="007A066B" w:rsidRDefault="005F4C22" w:rsidP="007A0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2.</w:t>
      </w:r>
      <w:r w:rsidRPr="007A066B">
        <w:rPr>
          <w:rFonts w:ascii="Times New Roman" w:eastAsia="Times New Roman" w:hAnsi="Times New Roman" w:cs="Times New Roman"/>
          <w:sz w:val="18"/>
          <w:szCs w:val="14"/>
          <w:lang w:val="uk-UA" w:eastAsia="ru-RU"/>
        </w:rPr>
        <w:t> </w:t>
      </w: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Коротка історія розвитку фармакології. Значення видатних вітчизняних і зарубіжних учених.</w:t>
      </w:r>
    </w:p>
    <w:p w:rsidR="005F4C22" w:rsidRPr="007A066B" w:rsidRDefault="005F4C22" w:rsidP="007A066B">
      <w:pPr>
        <w:spacing w:after="0" w:line="240" w:lineRule="auto"/>
        <w:ind w:firstLine="720"/>
        <w:jc w:val="both"/>
        <w:rPr>
          <w:rFonts w:ascii="SchoolBookCTT" w:eastAsia="Times New Roman" w:hAnsi="SchoolBookCTT" w:cs="Times New Roman"/>
          <w:sz w:val="28"/>
          <w:szCs w:val="24"/>
          <w:lang w:val="uk-UA" w:eastAsia="ru-RU"/>
        </w:rPr>
      </w:pPr>
      <w:r w:rsidRPr="007A066B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 xml:space="preserve">3. </w:t>
      </w: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 xml:space="preserve">Поняття про лікувальні речовини, джерела їх одержання; </w:t>
      </w:r>
    </w:p>
    <w:p w:rsidR="005F4C22" w:rsidRPr="005F4C22" w:rsidRDefault="005F4C22" w:rsidP="007A0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 w:rsidRPr="007A066B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4. Л</w:t>
      </w: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ік</w:t>
      </w:r>
      <w:r w:rsidRPr="007A066B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арські</w:t>
      </w: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 xml:space="preserve"> форми, їх класифікація</w:t>
      </w:r>
      <w:r w:rsidRPr="007A066B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.</w:t>
      </w: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 xml:space="preserve"> </w:t>
      </w:r>
    </w:p>
    <w:p w:rsidR="005F4C22" w:rsidRPr="007A066B" w:rsidRDefault="005F4C22" w:rsidP="007A066B">
      <w:pPr>
        <w:spacing w:after="0" w:line="240" w:lineRule="auto"/>
        <w:ind w:firstLine="720"/>
        <w:jc w:val="both"/>
        <w:rPr>
          <w:rFonts w:ascii="SchoolBookCTT" w:eastAsia="Times New Roman" w:hAnsi="SchoolBookCTT" w:cs="Times New Roman"/>
          <w:sz w:val="28"/>
          <w:szCs w:val="24"/>
          <w:lang w:val="uk-UA" w:eastAsia="ru-RU"/>
        </w:rPr>
      </w:pP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5</w:t>
      </w:r>
      <w:r w:rsidRPr="007A066B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 xml:space="preserve">. </w:t>
      </w: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Сучасні форми ліків, їх переваги та недоліки..</w:t>
      </w:r>
    </w:p>
    <w:p w:rsidR="005F4C22" w:rsidRPr="005F4C22" w:rsidRDefault="005F4C22" w:rsidP="007A0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6.</w:t>
      </w:r>
      <w:r w:rsidRPr="007A066B">
        <w:rPr>
          <w:rFonts w:ascii="Times New Roman" w:eastAsia="Times New Roman" w:hAnsi="Times New Roman" w:cs="Times New Roman"/>
          <w:sz w:val="18"/>
          <w:szCs w:val="14"/>
          <w:lang w:val="uk-UA" w:eastAsia="ru-RU"/>
        </w:rPr>
        <w:t> </w:t>
      </w: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Державна  фармакопея, її зміст і значення.</w:t>
      </w:r>
    </w:p>
    <w:p w:rsidR="005F4C22" w:rsidRPr="007A066B" w:rsidRDefault="005F4C22" w:rsidP="007A066B">
      <w:pPr>
        <w:spacing w:after="0" w:line="240" w:lineRule="auto"/>
        <w:ind w:firstLine="720"/>
        <w:jc w:val="both"/>
        <w:rPr>
          <w:rFonts w:ascii="SchoolBookCTT" w:eastAsia="Times New Roman" w:hAnsi="SchoolBookCTT" w:cs="Times New Roman"/>
          <w:sz w:val="28"/>
          <w:szCs w:val="24"/>
          <w:lang w:val="uk-UA" w:eastAsia="ru-RU"/>
        </w:rPr>
      </w:pPr>
      <w:r w:rsidRPr="007A066B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7</w:t>
      </w: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.</w:t>
      </w:r>
      <w:r w:rsidRPr="007A066B">
        <w:rPr>
          <w:rFonts w:ascii="Times New Roman" w:eastAsia="Times New Roman" w:hAnsi="Times New Roman" w:cs="Times New Roman"/>
          <w:sz w:val="18"/>
          <w:szCs w:val="14"/>
          <w:lang w:val="uk-UA" w:eastAsia="ru-RU"/>
        </w:rPr>
        <w:t> </w:t>
      </w: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 xml:space="preserve">Рецепт, його значення і структура. </w:t>
      </w:r>
    </w:p>
    <w:p w:rsidR="005F4C22" w:rsidRPr="005F4C22" w:rsidRDefault="005F4C22" w:rsidP="007A0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A066B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 xml:space="preserve">8. </w:t>
      </w: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Загальні правила складання рецептів.</w:t>
      </w:r>
    </w:p>
    <w:p w:rsidR="005F4C22" w:rsidRPr="007A066B" w:rsidRDefault="005F4C22" w:rsidP="007A066B">
      <w:pPr>
        <w:spacing w:after="0" w:line="240" w:lineRule="auto"/>
        <w:ind w:firstLine="720"/>
        <w:jc w:val="both"/>
        <w:rPr>
          <w:rFonts w:ascii="SchoolBookCTT" w:eastAsia="Times New Roman" w:hAnsi="SchoolBookCTT" w:cs="Times New Roman"/>
          <w:sz w:val="28"/>
          <w:szCs w:val="24"/>
          <w:lang w:val="uk-UA" w:eastAsia="ru-RU"/>
        </w:rPr>
      </w:pP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9.</w:t>
      </w:r>
      <w:r w:rsidRPr="007A066B">
        <w:rPr>
          <w:rFonts w:ascii="Times New Roman" w:eastAsia="Times New Roman" w:hAnsi="Times New Roman" w:cs="Times New Roman"/>
          <w:sz w:val="18"/>
          <w:szCs w:val="14"/>
          <w:lang w:val="uk-UA" w:eastAsia="ru-RU"/>
        </w:rPr>
        <w:t> </w:t>
      </w: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Форми рецептурних бланків згідно з діючим наказом і правила оформлення на них рецептів.</w:t>
      </w:r>
      <w:r w:rsidRPr="007A066B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 xml:space="preserve"> </w:t>
      </w:r>
    </w:p>
    <w:p w:rsidR="005F4C22" w:rsidRPr="005F4C22" w:rsidRDefault="005F4C22" w:rsidP="007A0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 w:rsidRPr="007A066B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 xml:space="preserve">10. </w:t>
      </w: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 xml:space="preserve">Поняття про </w:t>
      </w:r>
      <w:proofErr w:type="spellStart"/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офіцінальні</w:t>
      </w:r>
      <w:proofErr w:type="spellEnd"/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 xml:space="preserve"> та магістральні форми ліків</w:t>
      </w:r>
    </w:p>
    <w:p w:rsidR="005F4C22" w:rsidRPr="005F4C22" w:rsidRDefault="005F4C22" w:rsidP="007A0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11.</w:t>
      </w:r>
      <w:r w:rsidRPr="007A066B">
        <w:rPr>
          <w:rFonts w:ascii="Times New Roman" w:eastAsia="Times New Roman" w:hAnsi="Times New Roman" w:cs="Times New Roman"/>
          <w:sz w:val="18"/>
          <w:szCs w:val="14"/>
          <w:lang w:val="uk-UA" w:eastAsia="ru-RU"/>
        </w:rPr>
        <w:t> </w:t>
      </w: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Тверді форми ліків і правила виписування рецептів на порошки, капсули, драже і таблетки.</w:t>
      </w:r>
    </w:p>
    <w:p w:rsidR="005F4C22" w:rsidRPr="005F4C22" w:rsidRDefault="005F4C22" w:rsidP="007A0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12.</w:t>
      </w:r>
      <w:r w:rsidRPr="007A066B">
        <w:rPr>
          <w:rFonts w:ascii="Times New Roman" w:eastAsia="Times New Roman" w:hAnsi="Times New Roman" w:cs="Times New Roman"/>
          <w:sz w:val="18"/>
          <w:szCs w:val="14"/>
          <w:lang w:val="uk-UA" w:eastAsia="ru-RU"/>
        </w:rPr>
        <w:t> </w:t>
      </w: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Рідкі форми ліків і правила виписування на них рецептів.</w:t>
      </w:r>
    </w:p>
    <w:p w:rsidR="005F4C22" w:rsidRPr="005F4C22" w:rsidRDefault="005F4C22" w:rsidP="007A0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13.</w:t>
      </w:r>
      <w:r w:rsidRPr="007A066B">
        <w:rPr>
          <w:rFonts w:ascii="Times New Roman" w:eastAsia="Times New Roman" w:hAnsi="Times New Roman" w:cs="Times New Roman"/>
          <w:sz w:val="18"/>
          <w:szCs w:val="14"/>
          <w:lang w:val="uk-UA" w:eastAsia="ru-RU"/>
        </w:rPr>
        <w:t> </w:t>
      </w: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М’які форми ліків і правила оформлення на них рецептів.</w:t>
      </w:r>
    </w:p>
    <w:p w:rsidR="005F4C22" w:rsidRPr="005F4C22" w:rsidRDefault="005F4C22" w:rsidP="007A0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14.</w:t>
      </w:r>
      <w:r w:rsidRPr="007A066B">
        <w:rPr>
          <w:rFonts w:ascii="Times New Roman" w:eastAsia="Times New Roman" w:hAnsi="Times New Roman" w:cs="Times New Roman"/>
          <w:sz w:val="18"/>
          <w:szCs w:val="14"/>
          <w:lang w:val="uk-UA" w:eastAsia="ru-RU"/>
        </w:rPr>
        <w:t> </w:t>
      </w: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Форми ліків для ін’єкцій. Правила виписування рецептів на стерильні форми ліків в ампулах і флаконах.</w:t>
      </w:r>
    </w:p>
    <w:p w:rsidR="005F4C22" w:rsidRPr="005F4C22" w:rsidRDefault="005F4C22" w:rsidP="007A0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15.</w:t>
      </w:r>
      <w:r w:rsidRPr="007A066B">
        <w:rPr>
          <w:rFonts w:ascii="Times New Roman" w:eastAsia="Times New Roman" w:hAnsi="Times New Roman" w:cs="Times New Roman"/>
          <w:sz w:val="18"/>
          <w:szCs w:val="14"/>
          <w:lang w:val="uk-UA" w:eastAsia="ru-RU"/>
        </w:rPr>
        <w:t> </w:t>
      </w:r>
      <w:proofErr w:type="spellStart"/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Біотрансформація</w:t>
      </w:r>
      <w:proofErr w:type="spellEnd"/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 xml:space="preserve"> ліків в організмі.</w:t>
      </w:r>
    </w:p>
    <w:p w:rsidR="005F4C22" w:rsidRPr="005F4C22" w:rsidRDefault="005F4C22" w:rsidP="007A0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16.</w:t>
      </w:r>
      <w:r w:rsidRPr="007A066B">
        <w:rPr>
          <w:rFonts w:ascii="Times New Roman" w:eastAsia="Times New Roman" w:hAnsi="Times New Roman" w:cs="Times New Roman"/>
          <w:sz w:val="18"/>
          <w:szCs w:val="14"/>
          <w:lang w:val="uk-UA" w:eastAsia="ru-RU"/>
        </w:rPr>
        <w:t> </w:t>
      </w: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Шляхи введення ліків в організм.</w:t>
      </w:r>
    </w:p>
    <w:p w:rsidR="005F4C22" w:rsidRPr="005F4C22" w:rsidRDefault="005F4C22" w:rsidP="007A0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17.</w:t>
      </w:r>
      <w:r w:rsidRPr="007A066B">
        <w:rPr>
          <w:rFonts w:ascii="Times New Roman" w:eastAsia="Times New Roman" w:hAnsi="Times New Roman" w:cs="Times New Roman"/>
          <w:sz w:val="18"/>
          <w:szCs w:val="14"/>
          <w:lang w:val="uk-UA" w:eastAsia="ru-RU"/>
        </w:rPr>
        <w:t> </w:t>
      </w: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Розподіл ліків в організмі.</w:t>
      </w:r>
    </w:p>
    <w:p w:rsidR="005F4C22" w:rsidRPr="005F4C22" w:rsidRDefault="005F4C22" w:rsidP="007A0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18.</w:t>
      </w:r>
      <w:r w:rsidRPr="007A066B">
        <w:rPr>
          <w:rFonts w:ascii="Times New Roman" w:eastAsia="Times New Roman" w:hAnsi="Times New Roman" w:cs="Times New Roman"/>
          <w:sz w:val="18"/>
          <w:szCs w:val="14"/>
          <w:lang w:val="uk-UA" w:eastAsia="ru-RU"/>
        </w:rPr>
        <w:t> </w:t>
      </w:r>
      <w:r w:rsidR="00EB6834"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Шляхи виведення ліків з організму.</w:t>
      </w: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 xml:space="preserve"> </w:t>
      </w:r>
    </w:p>
    <w:p w:rsidR="005F4C22" w:rsidRPr="005F4C22" w:rsidRDefault="005F4C22" w:rsidP="007A0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19.</w:t>
      </w:r>
      <w:r w:rsidRPr="007A066B">
        <w:rPr>
          <w:rFonts w:ascii="Times New Roman" w:eastAsia="Times New Roman" w:hAnsi="Times New Roman" w:cs="Times New Roman"/>
          <w:sz w:val="32"/>
          <w:szCs w:val="14"/>
          <w:lang w:val="uk-UA" w:eastAsia="ru-RU"/>
        </w:rPr>
        <w:t> </w:t>
      </w:r>
      <w:r w:rsidRPr="00EB68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Види дії</w:t>
      </w:r>
      <w:r w:rsidR="00EB6834" w:rsidRPr="00EB68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ЛЗ</w:t>
      </w:r>
      <w:r w:rsidRPr="007A066B">
        <w:rPr>
          <w:rFonts w:ascii="Times New Roman" w:eastAsia="Times New Roman" w:hAnsi="Times New Roman" w:cs="Times New Roman"/>
          <w:sz w:val="32"/>
          <w:szCs w:val="14"/>
          <w:lang w:val="uk-UA" w:eastAsia="ru-RU"/>
        </w:rPr>
        <w:t>:</w:t>
      </w:r>
      <w:r w:rsidRPr="007A066B">
        <w:rPr>
          <w:rFonts w:ascii="Times New Roman" w:eastAsia="Times New Roman" w:hAnsi="Times New Roman" w:cs="Times New Roman"/>
          <w:sz w:val="18"/>
          <w:szCs w:val="14"/>
          <w:lang w:val="uk-UA" w:eastAsia="ru-RU"/>
        </w:rPr>
        <w:t xml:space="preserve"> </w:t>
      </w: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основна й побічна, пряма й другорядна</w:t>
      </w:r>
      <w:r w:rsidRPr="007A066B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 xml:space="preserve"> </w:t>
      </w:r>
    </w:p>
    <w:p w:rsidR="005F4C22" w:rsidRPr="005F4C22" w:rsidRDefault="005F4C22" w:rsidP="007A0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20.</w:t>
      </w:r>
      <w:r w:rsidRPr="007A066B">
        <w:rPr>
          <w:rFonts w:ascii="Times New Roman" w:eastAsia="Times New Roman" w:hAnsi="Times New Roman" w:cs="Times New Roman"/>
          <w:sz w:val="18"/>
          <w:szCs w:val="14"/>
          <w:lang w:val="uk-UA" w:eastAsia="ru-RU"/>
        </w:rPr>
        <w:t> </w:t>
      </w:r>
      <w:r w:rsidR="00EB6834"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 xml:space="preserve">Види дії </w:t>
      </w:r>
      <w:r w:rsidR="00EB6834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ЛЗ</w:t>
      </w:r>
      <w:r w:rsidR="00EB6834"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: мі</w:t>
      </w:r>
      <w:r w:rsidR="00EB6834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 xml:space="preserve">сцева, </w:t>
      </w:r>
      <w:proofErr w:type="spellStart"/>
      <w:r w:rsidR="00EB6834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резорбтивна</w:t>
      </w:r>
      <w:proofErr w:type="spellEnd"/>
      <w:r w:rsidR="00EB6834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, рефлекторна.</w:t>
      </w:r>
    </w:p>
    <w:p w:rsidR="005F4C22" w:rsidRPr="005F4C22" w:rsidRDefault="005F4C22" w:rsidP="007A0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21.</w:t>
      </w:r>
      <w:r w:rsidRPr="007A066B">
        <w:rPr>
          <w:rFonts w:ascii="Times New Roman" w:eastAsia="Times New Roman" w:hAnsi="Times New Roman" w:cs="Times New Roman"/>
          <w:sz w:val="18"/>
          <w:szCs w:val="14"/>
          <w:lang w:val="uk-UA" w:eastAsia="ru-RU"/>
        </w:rPr>
        <w:t> </w:t>
      </w:r>
      <w:r w:rsidRPr="007A066B">
        <w:rPr>
          <w:rFonts w:ascii="Times New Roman" w:eastAsia="Times New Roman" w:hAnsi="Times New Roman" w:cs="Times New Roman"/>
          <w:sz w:val="28"/>
          <w:szCs w:val="14"/>
          <w:lang w:val="uk-UA" w:eastAsia="ru-RU"/>
        </w:rPr>
        <w:t>У</w:t>
      </w: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 xml:space="preserve">мови, які впливають на дію ліків в організмі: хімічна будова, фізико-хімічні властивості, </w:t>
      </w:r>
      <w:proofErr w:type="spellStart"/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біодоступність</w:t>
      </w:r>
      <w:proofErr w:type="spellEnd"/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, доза, вік, маса тіла, індивідуальна чутливість, стать, патологічні процеси</w:t>
      </w:r>
      <w:r w:rsidR="007A066B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, режим харчування і склад їжі.</w:t>
      </w:r>
    </w:p>
    <w:p w:rsidR="005F4C22" w:rsidRPr="005F4C22" w:rsidRDefault="005F4C22" w:rsidP="007A0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22.</w:t>
      </w:r>
      <w:r w:rsidRPr="007A066B">
        <w:rPr>
          <w:rFonts w:ascii="Times New Roman" w:eastAsia="Times New Roman" w:hAnsi="Times New Roman" w:cs="Times New Roman"/>
          <w:sz w:val="18"/>
          <w:szCs w:val="14"/>
          <w:lang w:val="uk-UA" w:eastAsia="ru-RU"/>
        </w:rPr>
        <w:t> </w:t>
      </w: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 xml:space="preserve">Зміна дії медикаментозних речовин при повторних </w:t>
      </w:r>
      <w:proofErr w:type="spellStart"/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введеннях</w:t>
      </w:r>
      <w:proofErr w:type="spellEnd"/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 xml:space="preserve">: кумуляція, звикання, </w:t>
      </w:r>
      <w:proofErr w:type="spellStart"/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тахіфілаксія</w:t>
      </w:r>
      <w:proofErr w:type="spellEnd"/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, медикаментозна залежність, ейфорія, абстиненція, сенсибілізація.</w:t>
      </w:r>
    </w:p>
    <w:p w:rsidR="005F4C22" w:rsidRPr="005F4C22" w:rsidRDefault="005F4C22" w:rsidP="007A0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23.</w:t>
      </w:r>
      <w:r w:rsidRPr="007A066B">
        <w:rPr>
          <w:rFonts w:ascii="Times New Roman" w:eastAsia="Times New Roman" w:hAnsi="Times New Roman" w:cs="Times New Roman"/>
          <w:sz w:val="18"/>
          <w:szCs w:val="14"/>
          <w:lang w:val="uk-UA" w:eastAsia="ru-RU"/>
        </w:rPr>
        <w:t> </w:t>
      </w: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Комбінована дія медикаментозних речовин.</w:t>
      </w:r>
    </w:p>
    <w:p w:rsidR="005F4C22" w:rsidRPr="005F4C22" w:rsidRDefault="005F4C22" w:rsidP="007A0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24.</w:t>
      </w:r>
      <w:r w:rsidRPr="007A066B">
        <w:rPr>
          <w:rFonts w:ascii="Times New Roman" w:eastAsia="Times New Roman" w:hAnsi="Times New Roman" w:cs="Times New Roman"/>
          <w:sz w:val="18"/>
          <w:szCs w:val="14"/>
          <w:lang w:val="uk-UA" w:eastAsia="ru-RU"/>
        </w:rPr>
        <w:t> </w:t>
      </w: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 xml:space="preserve">Синергізм і його види. Антагонізм. </w:t>
      </w:r>
      <w:proofErr w:type="spellStart"/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Синергоантагонізм</w:t>
      </w:r>
      <w:proofErr w:type="spellEnd"/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.</w:t>
      </w:r>
    </w:p>
    <w:p w:rsidR="00BE677B" w:rsidRDefault="005F4C22" w:rsidP="007A066B">
      <w:pPr>
        <w:spacing w:after="0" w:line="240" w:lineRule="auto"/>
        <w:ind w:firstLine="720"/>
        <w:jc w:val="both"/>
        <w:rPr>
          <w:rFonts w:ascii="SchoolBookCTT" w:eastAsia="Times New Roman" w:hAnsi="SchoolBookCTT" w:cs="Times New Roman"/>
          <w:sz w:val="28"/>
          <w:szCs w:val="24"/>
          <w:lang w:val="uk-UA" w:eastAsia="ru-RU"/>
        </w:rPr>
      </w:pP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25.</w:t>
      </w:r>
      <w:r w:rsidRPr="007A066B">
        <w:rPr>
          <w:rFonts w:ascii="Times New Roman" w:eastAsia="Times New Roman" w:hAnsi="Times New Roman" w:cs="Times New Roman"/>
          <w:sz w:val="18"/>
          <w:szCs w:val="14"/>
          <w:lang w:val="uk-UA" w:eastAsia="ru-RU"/>
        </w:rPr>
        <w:t> </w:t>
      </w:r>
      <w:r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 xml:space="preserve">Побічна дія ліків алергійної і неалергійної природи. </w:t>
      </w:r>
    </w:p>
    <w:p w:rsidR="00BE677B" w:rsidRDefault="00BE677B" w:rsidP="007A066B">
      <w:pPr>
        <w:spacing w:after="0" w:line="240" w:lineRule="auto"/>
        <w:ind w:firstLine="720"/>
        <w:jc w:val="both"/>
        <w:rPr>
          <w:rFonts w:ascii="SchoolBookCTT" w:eastAsia="Times New Roman" w:hAnsi="SchoolBookCTT" w:cs="Times New Roman"/>
          <w:sz w:val="28"/>
          <w:szCs w:val="24"/>
          <w:lang w:val="uk-UA" w:eastAsia="ru-RU"/>
        </w:rPr>
      </w:pPr>
      <w:r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 xml:space="preserve">26. </w:t>
      </w:r>
      <w:r w:rsidR="005F4C22"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 xml:space="preserve">Токсична дія ліків, </w:t>
      </w:r>
    </w:p>
    <w:p w:rsidR="005F4C22" w:rsidRPr="005F4C22" w:rsidRDefault="00BE677B" w:rsidP="007A0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 xml:space="preserve">27. </w:t>
      </w:r>
      <w:proofErr w:type="spellStart"/>
      <w:r w:rsidR="00E96757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Т</w:t>
      </w:r>
      <w:r w:rsidR="005F4C22"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ератогенна</w:t>
      </w:r>
      <w:proofErr w:type="spellEnd"/>
      <w:r w:rsidR="005F4C22"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 xml:space="preserve">, </w:t>
      </w:r>
      <w:proofErr w:type="spellStart"/>
      <w:r w:rsidR="005F4C22"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ембріотоксична</w:t>
      </w:r>
      <w:proofErr w:type="spellEnd"/>
      <w:r w:rsidR="005F4C22"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 xml:space="preserve"> і мутагенна</w:t>
      </w:r>
      <w:r w:rsidR="00E96757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 xml:space="preserve"> дія ліків</w:t>
      </w:r>
      <w:r w:rsidR="005F4C22" w:rsidRPr="005F4C22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.</w:t>
      </w:r>
    </w:p>
    <w:p w:rsidR="00250BF0" w:rsidRDefault="00250BF0">
      <w:pPr>
        <w:rPr>
          <w:lang w:val="uk-UA"/>
        </w:rPr>
      </w:pPr>
    </w:p>
    <w:p w:rsidR="00EB6834" w:rsidRDefault="00EB6834">
      <w:pPr>
        <w:rPr>
          <w:lang w:val="uk-UA"/>
        </w:rPr>
      </w:pPr>
    </w:p>
    <w:p w:rsidR="00EB6834" w:rsidRDefault="00EB6834">
      <w:pPr>
        <w:rPr>
          <w:lang w:val="uk-UA"/>
        </w:rPr>
      </w:pPr>
    </w:p>
    <w:p w:rsidR="00EB6834" w:rsidRDefault="00EB6834">
      <w:pPr>
        <w:rPr>
          <w:lang w:val="uk-UA"/>
        </w:rPr>
      </w:pPr>
    </w:p>
    <w:p w:rsidR="00EB6834" w:rsidRPr="00FB79CC" w:rsidRDefault="00FB79CC" w:rsidP="00FB79CC">
      <w:pPr>
        <w:ind w:left="708" w:firstLine="708"/>
        <w:rPr>
          <w:rFonts w:ascii="Times New Roman" w:hAnsi="Times New Roman" w:cs="Times New Roman"/>
          <w:b/>
          <w:sz w:val="32"/>
          <w:lang w:val="uk-UA"/>
        </w:rPr>
      </w:pPr>
      <w:r w:rsidRPr="00FB79CC">
        <w:rPr>
          <w:rFonts w:ascii="Times New Roman" w:hAnsi="Times New Roman" w:cs="Times New Roman"/>
          <w:b/>
          <w:sz w:val="32"/>
          <w:lang w:val="uk-UA"/>
        </w:rPr>
        <w:t>Лекція - фармакокінетика</w:t>
      </w:r>
    </w:p>
    <w:p w:rsidR="00EB6834" w:rsidRDefault="00EB6834" w:rsidP="00EB68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lastRenderedPageBreak/>
        <w:t>1.</w:t>
      </w:r>
      <w:r>
        <w:rPr>
          <w:rFonts w:ascii="Times New Roman" w:eastAsia="Times New Roman" w:hAnsi="Times New Roman" w:cs="Times New Roman"/>
          <w:sz w:val="18"/>
          <w:szCs w:val="14"/>
          <w:lang w:val="uk-UA" w:eastAsia="ru-RU"/>
        </w:rPr>
        <w:t> </w:t>
      </w:r>
      <w:proofErr w:type="spellStart"/>
      <w:r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Біотрансформація</w:t>
      </w:r>
      <w:proofErr w:type="spellEnd"/>
      <w:r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 xml:space="preserve"> ліків в організмі.</w:t>
      </w:r>
    </w:p>
    <w:p w:rsidR="00EB6834" w:rsidRDefault="00EB6834" w:rsidP="00EB68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2.</w:t>
      </w:r>
      <w:r>
        <w:rPr>
          <w:rFonts w:ascii="Times New Roman" w:eastAsia="Times New Roman" w:hAnsi="Times New Roman" w:cs="Times New Roman"/>
          <w:sz w:val="18"/>
          <w:szCs w:val="14"/>
          <w:lang w:val="uk-UA" w:eastAsia="ru-RU"/>
        </w:rPr>
        <w:t> </w:t>
      </w:r>
      <w:r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Шляхи введення ліків в організм.</w:t>
      </w:r>
    </w:p>
    <w:p w:rsidR="00EB6834" w:rsidRDefault="00EB6834" w:rsidP="00EB68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3.</w:t>
      </w:r>
      <w:r>
        <w:rPr>
          <w:rFonts w:ascii="Times New Roman" w:eastAsia="Times New Roman" w:hAnsi="Times New Roman" w:cs="Times New Roman"/>
          <w:sz w:val="18"/>
          <w:szCs w:val="14"/>
          <w:lang w:val="uk-UA" w:eastAsia="ru-RU"/>
        </w:rPr>
        <w:t> </w:t>
      </w:r>
      <w:r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Розподіл ліків в організмі.</w:t>
      </w:r>
    </w:p>
    <w:p w:rsidR="00EB6834" w:rsidRDefault="00EB6834" w:rsidP="00EB68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4.</w:t>
      </w:r>
      <w:r>
        <w:rPr>
          <w:rFonts w:ascii="Times New Roman" w:eastAsia="Times New Roman" w:hAnsi="Times New Roman" w:cs="Times New Roman"/>
          <w:sz w:val="18"/>
          <w:szCs w:val="14"/>
          <w:lang w:val="uk-UA" w:eastAsia="ru-RU"/>
        </w:rPr>
        <w:t> </w:t>
      </w:r>
      <w:r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 xml:space="preserve">Шляхи виведення ліків з організму. </w:t>
      </w:r>
    </w:p>
    <w:p w:rsidR="00EB6834" w:rsidRDefault="00EB6834" w:rsidP="00EB68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5.</w:t>
      </w:r>
      <w:r>
        <w:rPr>
          <w:rFonts w:ascii="Times New Roman" w:eastAsia="Times New Roman" w:hAnsi="Times New Roman" w:cs="Times New Roman"/>
          <w:sz w:val="32"/>
          <w:szCs w:val="14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Види дії ЛЗ</w:t>
      </w:r>
      <w:r>
        <w:rPr>
          <w:rFonts w:ascii="Times New Roman" w:eastAsia="Times New Roman" w:hAnsi="Times New Roman" w:cs="Times New Roman"/>
          <w:sz w:val="32"/>
          <w:szCs w:val="1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18"/>
          <w:szCs w:val="14"/>
          <w:lang w:val="uk-UA" w:eastAsia="ru-RU"/>
        </w:rPr>
        <w:t xml:space="preserve"> </w:t>
      </w:r>
      <w:r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 xml:space="preserve">основна й побічна, пряма й другорядна </w:t>
      </w:r>
    </w:p>
    <w:p w:rsidR="00EB6834" w:rsidRDefault="00EB6834" w:rsidP="00EB6834">
      <w:pPr>
        <w:spacing w:after="0" w:line="240" w:lineRule="auto"/>
        <w:ind w:firstLine="720"/>
        <w:jc w:val="both"/>
        <w:rPr>
          <w:rFonts w:ascii="SchoolBookCTT" w:eastAsia="Times New Roman" w:hAnsi="SchoolBookCTT" w:cs="Times New Roman"/>
          <w:sz w:val="28"/>
          <w:szCs w:val="24"/>
          <w:lang w:val="uk-UA" w:eastAsia="ru-RU"/>
        </w:rPr>
      </w:pPr>
      <w:r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6.</w:t>
      </w:r>
      <w:r>
        <w:rPr>
          <w:rFonts w:ascii="Times New Roman" w:eastAsia="Times New Roman" w:hAnsi="Times New Roman" w:cs="Times New Roman"/>
          <w:sz w:val="18"/>
          <w:szCs w:val="14"/>
          <w:lang w:val="uk-UA" w:eastAsia="ru-RU"/>
        </w:rPr>
        <w:t> </w:t>
      </w:r>
      <w:r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 xml:space="preserve">Види дії ЛЗ: місцева, </w:t>
      </w:r>
      <w:proofErr w:type="spellStart"/>
      <w:r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резорбтивна</w:t>
      </w:r>
      <w:proofErr w:type="spellEnd"/>
      <w:r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, рефлекторна.</w:t>
      </w:r>
    </w:p>
    <w:p w:rsidR="00FB79CC" w:rsidRDefault="00FB79CC" w:rsidP="00EB68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</w:p>
    <w:p w:rsidR="00EB6834" w:rsidRPr="00FB79CC" w:rsidRDefault="00FB79CC" w:rsidP="00FB79CC">
      <w:pPr>
        <w:spacing w:after="0" w:line="240" w:lineRule="auto"/>
        <w:ind w:left="696" w:firstLine="720"/>
        <w:jc w:val="both"/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</w:pPr>
      <w:r w:rsidRPr="00FB79CC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 xml:space="preserve">Лекція - </w:t>
      </w:r>
      <w:proofErr w:type="spellStart"/>
      <w:r w:rsidRPr="00FB79CC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>фармакодинаміка</w:t>
      </w:r>
      <w:proofErr w:type="spellEnd"/>
    </w:p>
    <w:p w:rsidR="00EB6834" w:rsidRDefault="00FB79CC" w:rsidP="00EB68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1</w:t>
      </w:r>
      <w:r w:rsidR="00EB6834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.</w:t>
      </w:r>
      <w:r w:rsidR="00EB6834">
        <w:rPr>
          <w:rFonts w:ascii="Times New Roman" w:eastAsia="Times New Roman" w:hAnsi="Times New Roman" w:cs="Times New Roman"/>
          <w:sz w:val="18"/>
          <w:szCs w:val="14"/>
          <w:lang w:val="uk-UA" w:eastAsia="ru-RU"/>
        </w:rPr>
        <w:t> </w:t>
      </w:r>
      <w:r w:rsidR="00EB6834">
        <w:rPr>
          <w:rFonts w:ascii="Times New Roman" w:eastAsia="Times New Roman" w:hAnsi="Times New Roman" w:cs="Times New Roman"/>
          <w:sz w:val="28"/>
          <w:szCs w:val="14"/>
          <w:lang w:val="uk-UA" w:eastAsia="ru-RU"/>
        </w:rPr>
        <w:t>У</w:t>
      </w:r>
      <w:r w:rsidR="00EB6834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 xml:space="preserve">мови, які впливають на дію ліків в організмі: хімічна будова, фізико-хімічні властивості, </w:t>
      </w:r>
      <w:proofErr w:type="spellStart"/>
      <w:r w:rsidR="00EB6834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біодоступність</w:t>
      </w:r>
      <w:proofErr w:type="spellEnd"/>
      <w:r w:rsidR="00EB6834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, доза, вік, маса тіла, індивідуальна чутливість, стать, патологічні процеси, режим харчування і склад їжі.</w:t>
      </w:r>
    </w:p>
    <w:p w:rsidR="00EB6834" w:rsidRDefault="00FB79CC" w:rsidP="00EB68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2</w:t>
      </w:r>
      <w:r w:rsidR="00EB6834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.</w:t>
      </w:r>
      <w:r w:rsidR="00EB6834">
        <w:rPr>
          <w:rFonts w:ascii="Times New Roman" w:eastAsia="Times New Roman" w:hAnsi="Times New Roman" w:cs="Times New Roman"/>
          <w:sz w:val="18"/>
          <w:szCs w:val="14"/>
          <w:lang w:val="uk-UA" w:eastAsia="ru-RU"/>
        </w:rPr>
        <w:t> </w:t>
      </w:r>
      <w:r w:rsidR="00EB6834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 xml:space="preserve">Зміна дії медикаментозних речовин при повторних </w:t>
      </w:r>
      <w:proofErr w:type="spellStart"/>
      <w:r w:rsidR="00EB6834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введеннях</w:t>
      </w:r>
      <w:proofErr w:type="spellEnd"/>
      <w:r w:rsidR="00EB6834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 xml:space="preserve">: кумуляція, звикання, </w:t>
      </w:r>
      <w:proofErr w:type="spellStart"/>
      <w:r w:rsidR="00EB6834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тахіфілаксія</w:t>
      </w:r>
      <w:proofErr w:type="spellEnd"/>
      <w:r w:rsidR="00EB6834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, медикаментозна залежність, ейфорія, абстиненція, сенсибілізація.</w:t>
      </w:r>
    </w:p>
    <w:p w:rsidR="00EB6834" w:rsidRDefault="00FB79CC" w:rsidP="00EB68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3</w:t>
      </w:r>
      <w:r w:rsidR="00EB6834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.</w:t>
      </w:r>
      <w:r w:rsidR="00EB6834">
        <w:rPr>
          <w:rFonts w:ascii="Times New Roman" w:eastAsia="Times New Roman" w:hAnsi="Times New Roman" w:cs="Times New Roman"/>
          <w:sz w:val="18"/>
          <w:szCs w:val="14"/>
          <w:lang w:val="uk-UA" w:eastAsia="ru-RU"/>
        </w:rPr>
        <w:t> </w:t>
      </w:r>
      <w:r w:rsidR="00EB6834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Комбінована дія медикаментозних речовин.</w:t>
      </w:r>
    </w:p>
    <w:p w:rsidR="00EB6834" w:rsidRDefault="00FB79CC" w:rsidP="00EB68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4</w:t>
      </w:r>
      <w:r w:rsidR="00EB6834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.</w:t>
      </w:r>
      <w:r w:rsidR="00EB6834">
        <w:rPr>
          <w:rFonts w:ascii="Times New Roman" w:eastAsia="Times New Roman" w:hAnsi="Times New Roman" w:cs="Times New Roman"/>
          <w:sz w:val="18"/>
          <w:szCs w:val="14"/>
          <w:lang w:val="uk-UA" w:eastAsia="ru-RU"/>
        </w:rPr>
        <w:t> </w:t>
      </w:r>
      <w:r w:rsidR="00EB6834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 xml:space="preserve">Синергізм і його види. Антагонізм. </w:t>
      </w:r>
      <w:proofErr w:type="spellStart"/>
      <w:r w:rsidR="00EB6834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Синергоантагонізм</w:t>
      </w:r>
      <w:proofErr w:type="spellEnd"/>
      <w:r w:rsidR="00EB6834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.</w:t>
      </w:r>
    </w:p>
    <w:p w:rsidR="00EB6834" w:rsidRDefault="00FB79CC" w:rsidP="00EB6834">
      <w:pPr>
        <w:spacing w:after="0" w:line="240" w:lineRule="auto"/>
        <w:ind w:firstLine="720"/>
        <w:jc w:val="both"/>
        <w:rPr>
          <w:rFonts w:ascii="SchoolBookCTT" w:eastAsia="Times New Roman" w:hAnsi="SchoolBookCTT" w:cs="Times New Roman"/>
          <w:sz w:val="28"/>
          <w:szCs w:val="24"/>
          <w:lang w:val="uk-UA" w:eastAsia="ru-RU"/>
        </w:rPr>
      </w:pPr>
      <w:r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5</w:t>
      </w:r>
      <w:r w:rsidR="00EB6834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.</w:t>
      </w:r>
      <w:r w:rsidR="00EB6834">
        <w:rPr>
          <w:rFonts w:ascii="Times New Roman" w:eastAsia="Times New Roman" w:hAnsi="Times New Roman" w:cs="Times New Roman"/>
          <w:sz w:val="18"/>
          <w:szCs w:val="14"/>
          <w:lang w:val="uk-UA" w:eastAsia="ru-RU"/>
        </w:rPr>
        <w:t> </w:t>
      </w:r>
      <w:r w:rsidR="00EB6834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 xml:space="preserve">Побічна дія ліків алергійної і неалергійної природи. </w:t>
      </w:r>
    </w:p>
    <w:p w:rsidR="00EB6834" w:rsidRDefault="00FB79CC" w:rsidP="00EB6834">
      <w:pPr>
        <w:spacing w:after="0" w:line="240" w:lineRule="auto"/>
        <w:ind w:firstLine="720"/>
        <w:jc w:val="both"/>
        <w:rPr>
          <w:rFonts w:ascii="SchoolBookCTT" w:eastAsia="Times New Roman" w:hAnsi="SchoolBookCTT" w:cs="Times New Roman"/>
          <w:sz w:val="28"/>
          <w:szCs w:val="24"/>
          <w:lang w:val="uk-UA" w:eastAsia="ru-RU"/>
        </w:rPr>
      </w:pPr>
      <w:r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6. Токсична дія ліків.</w:t>
      </w:r>
      <w:r w:rsidR="00EB6834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 xml:space="preserve"> </w:t>
      </w:r>
    </w:p>
    <w:p w:rsidR="00EB6834" w:rsidRDefault="00FB79CC" w:rsidP="00EB68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7</w:t>
      </w:r>
      <w:r w:rsidR="00EB6834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 xml:space="preserve">. </w:t>
      </w:r>
      <w:proofErr w:type="spellStart"/>
      <w:r w:rsidR="00EB6834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Тератогенна</w:t>
      </w:r>
      <w:proofErr w:type="spellEnd"/>
      <w:r w:rsidR="00EB6834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 xml:space="preserve">, </w:t>
      </w:r>
      <w:proofErr w:type="spellStart"/>
      <w:r w:rsidR="00EB6834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>ембріотоксична</w:t>
      </w:r>
      <w:proofErr w:type="spellEnd"/>
      <w:r w:rsidR="00EB6834">
        <w:rPr>
          <w:rFonts w:ascii="SchoolBookCTT" w:eastAsia="Times New Roman" w:hAnsi="SchoolBookCTT" w:cs="Times New Roman"/>
          <w:sz w:val="28"/>
          <w:szCs w:val="24"/>
          <w:lang w:val="uk-UA" w:eastAsia="ru-RU"/>
        </w:rPr>
        <w:t xml:space="preserve"> і мутагенна дія ліків.</w:t>
      </w:r>
    </w:p>
    <w:p w:rsidR="00EB6834" w:rsidRPr="00BE677B" w:rsidRDefault="00EB6834">
      <w:pPr>
        <w:rPr>
          <w:lang w:val="uk-UA"/>
        </w:rPr>
      </w:pPr>
    </w:p>
    <w:sectPr w:rsidR="00EB6834" w:rsidRPr="00BE6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T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8F1"/>
    <w:rsid w:val="00250BF0"/>
    <w:rsid w:val="002958F1"/>
    <w:rsid w:val="004C066F"/>
    <w:rsid w:val="005F4C22"/>
    <w:rsid w:val="007A066B"/>
    <w:rsid w:val="00BE677B"/>
    <w:rsid w:val="00CD7BA2"/>
    <w:rsid w:val="00E96757"/>
    <w:rsid w:val="00EB6834"/>
    <w:rsid w:val="00FB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dcterms:created xsi:type="dcterms:W3CDTF">2019-01-30T14:06:00Z</dcterms:created>
  <dcterms:modified xsi:type="dcterms:W3CDTF">2019-02-02T07:59:00Z</dcterms:modified>
</cp:coreProperties>
</file>