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C6" w:rsidRDefault="003F7CC6" w:rsidP="003F7CC6">
      <w:pPr>
        <w:pStyle w:val="30"/>
        <w:keepNext/>
        <w:keepLines/>
        <w:shd w:val="clear" w:color="auto" w:fill="auto"/>
        <w:spacing w:line="682" w:lineRule="exact"/>
        <w:jc w:val="center"/>
        <w:rPr>
          <w:sz w:val="22"/>
          <w:szCs w:val="22"/>
        </w:rPr>
      </w:pPr>
      <w:r w:rsidRPr="003F7CC6">
        <w:rPr>
          <w:sz w:val="22"/>
          <w:szCs w:val="22"/>
        </w:rPr>
        <w:t>Тематичний план практичних занять</w:t>
      </w:r>
    </w:p>
    <w:p w:rsidR="00972CAB" w:rsidRPr="003F7CC6" w:rsidRDefault="00972CAB" w:rsidP="003F7CC6">
      <w:pPr>
        <w:pStyle w:val="30"/>
        <w:keepNext/>
        <w:keepLines/>
        <w:shd w:val="clear" w:color="auto" w:fill="auto"/>
        <w:spacing w:line="682" w:lineRule="exact"/>
        <w:jc w:val="center"/>
        <w:rPr>
          <w:sz w:val="22"/>
          <w:szCs w:val="22"/>
        </w:rPr>
      </w:pPr>
      <w:r>
        <w:rPr>
          <w:sz w:val="22"/>
          <w:szCs w:val="22"/>
        </w:rPr>
        <w:t>4 семестр</w:t>
      </w:r>
    </w:p>
    <w:tbl>
      <w:tblPr>
        <w:tblW w:w="14884"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709"/>
        <w:gridCol w:w="10773"/>
        <w:gridCol w:w="1701"/>
        <w:gridCol w:w="1701"/>
      </w:tblGrid>
      <w:tr w:rsidR="00E57022" w:rsidRPr="003F7CC6" w:rsidTr="00512628">
        <w:trPr>
          <w:cantSplit/>
          <w:trHeight w:val="300"/>
        </w:trPr>
        <w:tc>
          <w:tcPr>
            <w:tcW w:w="709" w:type="dxa"/>
            <w:vAlign w:val="center"/>
          </w:tcPr>
          <w:p w:rsidR="00E57022" w:rsidRPr="0054393B" w:rsidRDefault="00E57022" w:rsidP="0054393B">
            <w:pPr>
              <w:spacing w:line="240" w:lineRule="auto"/>
              <w:jc w:val="center"/>
              <w:rPr>
                <w:rFonts w:ascii="Times New Roman" w:hAnsi="Times New Roman" w:cs="Times New Roman"/>
                <w:b/>
                <w:lang w:val="ru-RU"/>
              </w:rPr>
            </w:pPr>
            <w:r w:rsidRPr="0054393B">
              <w:rPr>
                <w:rFonts w:ascii="Times New Roman" w:hAnsi="Times New Roman" w:cs="Times New Roman"/>
                <w:b/>
                <w:color w:val="000000"/>
              </w:rPr>
              <w:t>№ з</w:t>
            </w:r>
            <w:r w:rsidRPr="0054393B">
              <w:rPr>
                <w:rFonts w:ascii="Times New Roman" w:hAnsi="Times New Roman" w:cs="Times New Roman"/>
                <w:b/>
                <w:color w:val="000000"/>
                <w:lang w:val="ru-RU"/>
              </w:rPr>
              <w:t>/</w:t>
            </w:r>
            <w:proofErr w:type="spellStart"/>
            <w:r w:rsidRPr="0054393B">
              <w:rPr>
                <w:rFonts w:ascii="Times New Roman" w:hAnsi="Times New Roman" w:cs="Times New Roman"/>
                <w:b/>
                <w:color w:val="000000"/>
                <w:lang w:val="ru-RU"/>
              </w:rPr>
              <w:t>п</w:t>
            </w:r>
            <w:proofErr w:type="spellEnd"/>
          </w:p>
        </w:tc>
        <w:tc>
          <w:tcPr>
            <w:tcW w:w="10773" w:type="dxa"/>
            <w:tcBorders>
              <w:right w:val="single" w:sz="4" w:space="0" w:color="auto"/>
            </w:tcBorders>
          </w:tcPr>
          <w:p w:rsidR="00E57022" w:rsidRPr="003F7CC6" w:rsidRDefault="00E57022" w:rsidP="000D6BEC">
            <w:pPr>
              <w:pStyle w:val="a4"/>
              <w:spacing w:after="0"/>
              <w:jc w:val="center"/>
              <w:rPr>
                <w:rFonts w:ascii="Times New Roman" w:hAnsi="Times New Roman" w:cs="Times New Roman"/>
                <w:sz w:val="22"/>
                <w:szCs w:val="22"/>
              </w:rPr>
            </w:pPr>
            <w:r w:rsidRPr="003F7CC6">
              <w:rPr>
                <w:rFonts w:ascii="Times New Roman" w:hAnsi="Times New Roman" w:cs="Times New Roman"/>
                <w:sz w:val="22"/>
                <w:szCs w:val="22"/>
              </w:rPr>
              <w:t>Тема</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color w:val="000000"/>
              </w:rPr>
            </w:pPr>
            <w:r>
              <w:rPr>
                <w:rFonts w:ascii="Times New Roman" w:hAnsi="Times New Roman" w:cs="Times New Roman"/>
                <w:color w:val="000000"/>
              </w:rPr>
              <w:t>Дата</w:t>
            </w:r>
          </w:p>
        </w:tc>
        <w:tc>
          <w:tcPr>
            <w:tcW w:w="1701" w:type="dxa"/>
            <w:tcBorders>
              <w:left w:val="single" w:sz="4" w:space="0" w:color="auto"/>
            </w:tcBorders>
            <w:vAlign w:val="center"/>
          </w:tcPr>
          <w:p w:rsidR="00E57022" w:rsidRPr="003F7CC6" w:rsidRDefault="00E57022" w:rsidP="00A00DD3">
            <w:pPr>
              <w:spacing w:line="240" w:lineRule="auto"/>
              <w:ind w:firstLine="34"/>
              <w:jc w:val="center"/>
              <w:rPr>
                <w:rFonts w:ascii="Times New Roman" w:hAnsi="Times New Roman" w:cs="Times New Roman"/>
              </w:rPr>
            </w:pPr>
            <w:proofErr w:type="spellStart"/>
            <w:r w:rsidRPr="003F7CC6">
              <w:rPr>
                <w:rFonts w:ascii="Times New Roman" w:hAnsi="Times New Roman" w:cs="Times New Roman"/>
                <w:color w:val="000000"/>
              </w:rPr>
              <w:t>К-сть</w:t>
            </w:r>
            <w:proofErr w:type="spellEnd"/>
            <w:r w:rsidRPr="003F7CC6">
              <w:rPr>
                <w:rFonts w:ascii="Times New Roman" w:hAnsi="Times New Roman" w:cs="Times New Roman"/>
                <w:color w:val="000000"/>
              </w:rPr>
              <w:t xml:space="preserve"> годин</w:t>
            </w:r>
          </w:p>
        </w:tc>
      </w:tr>
      <w:tr w:rsidR="00E57022" w:rsidRPr="003F7CC6" w:rsidTr="00512628">
        <w:trPr>
          <w:cantSplit/>
        </w:trPr>
        <w:tc>
          <w:tcPr>
            <w:tcW w:w="709" w:type="dxa"/>
            <w:vAlign w:val="center"/>
          </w:tcPr>
          <w:p w:rsidR="00E57022" w:rsidRPr="0054393B" w:rsidRDefault="00E57022" w:rsidP="0054393B">
            <w:pPr>
              <w:widowControl w:val="0"/>
              <w:numPr>
                <w:ilvl w:val="0"/>
                <w:numId w:val="1"/>
              </w:numPr>
              <w:snapToGrid w:val="0"/>
              <w:spacing w:after="0" w:line="240" w:lineRule="auto"/>
              <w:ind w:left="0" w:firstLine="0"/>
              <w:jc w:val="center"/>
              <w:rPr>
                <w:rFonts w:ascii="Times New Roman" w:hAnsi="Times New Roman" w:cs="Times New Roman"/>
                <w:b/>
              </w:rPr>
            </w:pPr>
          </w:p>
        </w:tc>
        <w:tc>
          <w:tcPr>
            <w:tcW w:w="10773" w:type="dxa"/>
            <w:tcBorders>
              <w:right w:val="single" w:sz="4" w:space="0" w:color="auto"/>
            </w:tcBorders>
            <w:hideMark/>
          </w:tcPr>
          <w:p w:rsidR="00E57022" w:rsidRPr="003F7CC6" w:rsidRDefault="00E57022" w:rsidP="00512628">
            <w:pPr>
              <w:pStyle w:val="a4"/>
              <w:spacing w:after="0"/>
              <w:jc w:val="both"/>
              <w:rPr>
                <w:rFonts w:ascii="Times New Roman" w:hAnsi="Times New Roman" w:cs="Times New Roman"/>
                <w:b/>
                <w:sz w:val="22"/>
                <w:szCs w:val="22"/>
              </w:rPr>
            </w:pPr>
            <w:proofErr w:type="spellStart"/>
            <w:r w:rsidRPr="003F7CC6">
              <w:rPr>
                <w:rFonts w:ascii="Times New Roman" w:hAnsi="Times New Roman" w:cs="Times New Roman"/>
                <w:sz w:val="22"/>
                <w:szCs w:val="22"/>
              </w:rPr>
              <w:t>Грампозитивні</w:t>
            </w:r>
            <w:proofErr w:type="spellEnd"/>
            <w:r w:rsidRPr="003F7CC6">
              <w:rPr>
                <w:rFonts w:ascii="Times New Roman" w:hAnsi="Times New Roman" w:cs="Times New Roman"/>
                <w:sz w:val="22"/>
                <w:szCs w:val="22"/>
              </w:rPr>
              <w:t xml:space="preserve"> і </w:t>
            </w:r>
            <w:proofErr w:type="spellStart"/>
            <w:r w:rsidRPr="003F7CC6">
              <w:rPr>
                <w:rFonts w:ascii="Times New Roman" w:hAnsi="Times New Roman" w:cs="Times New Roman"/>
                <w:sz w:val="22"/>
                <w:szCs w:val="22"/>
              </w:rPr>
              <w:t>грамнегативні</w:t>
            </w:r>
            <w:proofErr w:type="spellEnd"/>
            <w:r w:rsidRPr="003F7CC6">
              <w:rPr>
                <w:rFonts w:ascii="Times New Roman" w:hAnsi="Times New Roman" w:cs="Times New Roman"/>
                <w:sz w:val="22"/>
                <w:szCs w:val="22"/>
              </w:rPr>
              <w:t xml:space="preserve"> коки. Стафілококи. Мікробіологічні дослідження та лабораторна діагностика. Стрептококи. Пневмококи. Мікробіологічні дослідження та лабораторна діагностика. Гонококи та менінгококи. Мікробіологічна діагностика захворювань. Мікробіота роту. Особливості забору матеріалу при захворюваннях слизової рота та зубів. Виділення чистих культур із слизової оболонки рота. </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vAlign w:val="center"/>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tcPr>
          <w:p w:rsidR="00E57022" w:rsidRPr="0054393B" w:rsidRDefault="00E57022" w:rsidP="0054393B">
            <w:pPr>
              <w:widowControl w:val="0"/>
              <w:numPr>
                <w:ilvl w:val="0"/>
                <w:numId w:val="1"/>
              </w:numPr>
              <w:snapToGrid w:val="0"/>
              <w:spacing w:after="0" w:line="240" w:lineRule="auto"/>
              <w:ind w:left="0" w:firstLine="0"/>
              <w:jc w:val="center"/>
              <w:rPr>
                <w:rFonts w:ascii="Times New Roman" w:hAnsi="Times New Roman" w:cs="Times New Roman"/>
                <w:b/>
              </w:rPr>
            </w:pPr>
          </w:p>
        </w:tc>
        <w:tc>
          <w:tcPr>
            <w:tcW w:w="10773" w:type="dxa"/>
            <w:tcBorders>
              <w:right w:val="single" w:sz="4" w:space="0" w:color="auto"/>
            </w:tcBorders>
            <w:hideMark/>
          </w:tcPr>
          <w:p w:rsidR="00E57022" w:rsidRPr="003F7CC6" w:rsidRDefault="00E57022" w:rsidP="00512628">
            <w:pPr>
              <w:spacing w:line="240" w:lineRule="auto"/>
              <w:ind w:firstLine="34"/>
              <w:jc w:val="both"/>
              <w:rPr>
                <w:rFonts w:ascii="Times New Roman" w:hAnsi="Times New Roman" w:cs="Times New Roman"/>
              </w:rPr>
            </w:pPr>
            <w:r w:rsidRPr="003F7CC6">
              <w:rPr>
                <w:rFonts w:ascii="Times New Roman" w:hAnsi="Times New Roman" w:cs="Times New Roman"/>
              </w:rPr>
              <w:t xml:space="preserve">Характеристика представників родини </w:t>
            </w:r>
            <w:proofErr w:type="spellStart"/>
            <w:r w:rsidRPr="003F7CC6">
              <w:rPr>
                <w:rFonts w:ascii="Times New Roman" w:hAnsi="Times New Roman" w:cs="Times New Roman"/>
                <w:lang w:val="en-US"/>
              </w:rPr>
              <w:t>Enterobacteriaceae</w:t>
            </w:r>
            <w:proofErr w:type="spellEnd"/>
            <w:r w:rsidRPr="003F7CC6">
              <w:rPr>
                <w:rFonts w:ascii="Times New Roman" w:hAnsi="Times New Roman" w:cs="Times New Roman"/>
              </w:rPr>
              <w:t xml:space="preserve">. Збудники </w:t>
            </w:r>
            <w:proofErr w:type="spellStart"/>
            <w:r w:rsidRPr="003F7CC6">
              <w:rPr>
                <w:rFonts w:ascii="Times New Roman" w:hAnsi="Times New Roman" w:cs="Times New Roman"/>
              </w:rPr>
              <w:t>коліінфекції</w:t>
            </w:r>
            <w:proofErr w:type="spellEnd"/>
            <w:r w:rsidRPr="003F7CC6">
              <w:rPr>
                <w:rFonts w:ascii="Times New Roman" w:hAnsi="Times New Roman" w:cs="Times New Roman"/>
              </w:rPr>
              <w:t xml:space="preserve">. Збудники бактеріальної дизентерії. Лабораторна діагностика. Збудники </w:t>
            </w:r>
            <w:proofErr w:type="spellStart"/>
            <w:r w:rsidRPr="003F7CC6">
              <w:rPr>
                <w:rFonts w:ascii="Times New Roman" w:hAnsi="Times New Roman" w:cs="Times New Roman"/>
              </w:rPr>
              <w:t>клебсієльозних</w:t>
            </w:r>
            <w:proofErr w:type="spellEnd"/>
            <w:r w:rsidRPr="003F7CC6">
              <w:rPr>
                <w:rFonts w:ascii="Times New Roman" w:hAnsi="Times New Roman" w:cs="Times New Roman"/>
              </w:rPr>
              <w:t xml:space="preserve"> та протейних інфекцій, їх роль у патології людини. Лабораторна діагностика. Дослідження спектру </w:t>
            </w:r>
            <w:proofErr w:type="spellStart"/>
            <w:r w:rsidRPr="003F7CC6">
              <w:rPr>
                <w:rFonts w:ascii="Times New Roman" w:hAnsi="Times New Roman" w:cs="Times New Roman"/>
              </w:rPr>
              <w:t>ентеробактерій</w:t>
            </w:r>
            <w:proofErr w:type="spellEnd"/>
            <w:r w:rsidRPr="003F7CC6">
              <w:rPr>
                <w:rFonts w:ascii="Times New Roman" w:hAnsi="Times New Roman" w:cs="Times New Roman"/>
              </w:rPr>
              <w:t xml:space="preserve"> в ротових змивах. Карієс зубів. Лабораторна діагностика карієсу.</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vAlign w:val="center"/>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tcPr>
          <w:p w:rsidR="00E57022" w:rsidRPr="0054393B" w:rsidRDefault="00E57022" w:rsidP="0054393B">
            <w:pPr>
              <w:widowControl w:val="0"/>
              <w:numPr>
                <w:ilvl w:val="0"/>
                <w:numId w:val="1"/>
              </w:numPr>
              <w:snapToGrid w:val="0"/>
              <w:spacing w:after="0" w:line="240" w:lineRule="auto"/>
              <w:ind w:left="0" w:firstLine="0"/>
              <w:jc w:val="center"/>
              <w:rPr>
                <w:rFonts w:ascii="Times New Roman" w:hAnsi="Times New Roman" w:cs="Times New Roman"/>
                <w:b/>
              </w:rPr>
            </w:pPr>
          </w:p>
        </w:tc>
        <w:tc>
          <w:tcPr>
            <w:tcW w:w="10773" w:type="dxa"/>
            <w:tcBorders>
              <w:right w:val="single" w:sz="4" w:space="0" w:color="auto"/>
            </w:tcBorders>
            <w:hideMark/>
          </w:tcPr>
          <w:p w:rsidR="00E57022" w:rsidRPr="003F7CC6" w:rsidRDefault="00E57022" w:rsidP="00512628">
            <w:pPr>
              <w:spacing w:line="240" w:lineRule="auto"/>
              <w:ind w:firstLine="34"/>
              <w:jc w:val="both"/>
              <w:rPr>
                <w:rFonts w:ascii="Times New Roman" w:hAnsi="Times New Roman" w:cs="Times New Roman"/>
              </w:rPr>
            </w:pPr>
            <w:r w:rsidRPr="003F7CC6">
              <w:rPr>
                <w:rFonts w:ascii="Times New Roman" w:hAnsi="Times New Roman" w:cs="Times New Roman"/>
              </w:rPr>
              <w:t xml:space="preserve">Збудники черевного тифу та паратифів А і В. Сальмонели - збудники харчових токсикоінфекцій. Лабораторна діагностика захворювань, зумовлених сальмонелами. Внутрішньо-лікарняні інфекції. Пульпіт. </w:t>
            </w:r>
            <w:proofErr w:type="spellStart"/>
            <w:r w:rsidRPr="003F7CC6">
              <w:rPr>
                <w:rFonts w:ascii="Times New Roman" w:hAnsi="Times New Roman" w:cs="Times New Roman"/>
              </w:rPr>
              <w:t>Періодонтит</w:t>
            </w:r>
            <w:proofErr w:type="spellEnd"/>
            <w:r w:rsidRPr="003F7CC6">
              <w:rPr>
                <w:rFonts w:ascii="Times New Roman" w:hAnsi="Times New Roman" w:cs="Times New Roman"/>
              </w:rPr>
              <w:t xml:space="preserve">. </w:t>
            </w:r>
            <w:proofErr w:type="spellStart"/>
            <w:r w:rsidRPr="003F7CC6">
              <w:rPr>
                <w:rFonts w:ascii="Times New Roman" w:hAnsi="Times New Roman" w:cs="Times New Roman"/>
              </w:rPr>
              <w:t>Пародонтит</w:t>
            </w:r>
            <w:proofErr w:type="spellEnd"/>
            <w:r w:rsidRPr="003F7CC6">
              <w:rPr>
                <w:rFonts w:ascii="Times New Roman" w:hAnsi="Times New Roman" w:cs="Times New Roman"/>
              </w:rPr>
              <w:t xml:space="preserve">. Мікробна мікробіота </w:t>
            </w:r>
            <w:proofErr w:type="spellStart"/>
            <w:r w:rsidRPr="003F7CC6">
              <w:rPr>
                <w:rFonts w:ascii="Times New Roman" w:hAnsi="Times New Roman" w:cs="Times New Roman"/>
              </w:rPr>
              <w:t>зубно-ясневої</w:t>
            </w:r>
            <w:proofErr w:type="spellEnd"/>
            <w:r w:rsidRPr="003F7CC6">
              <w:rPr>
                <w:rFonts w:ascii="Times New Roman" w:hAnsi="Times New Roman" w:cs="Times New Roman"/>
              </w:rPr>
              <w:t xml:space="preserve"> кишені при різних формах захворювань зубів.</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vAlign w:val="center"/>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tcPr>
          <w:p w:rsidR="00E57022" w:rsidRPr="0054393B" w:rsidRDefault="00E57022" w:rsidP="0054393B">
            <w:pPr>
              <w:widowControl w:val="0"/>
              <w:numPr>
                <w:ilvl w:val="0"/>
                <w:numId w:val="1"/>
              </w:numPr>
              <w:snapToGrid w:val="0"/>
              <w:spacing w:after="0" w:line="240" w:lineRule="auto"/>
              <w:ind w:left="0" w:firstLine="0"/>
              <w:jc w:val="center"/>
              <w:rPr>
                <w:rFonts w:ascii="Times New Roman" w:hAnsi="Times New Roman" w:cs="Times New Roman"/>
                <w:b/>
              </w:rPr>
            </w:pPr>
          </w:p>
        </w:tc>
        <w:tc>
          <w:tcPr>
            <w:tcW w:w="10773" w:type="dxa"/>
            <w:tcBorders>
              <w:right w:val="single" w:sz="4" w:space="0" w:color="auto"/>
            </w:tcBorders>
            <w:hideMark/>
          </w:tcPr>
          <w:p w:rsidR="00E57022" w:rsidRPr="003F7CC6" w:rsidRDefault="00E57022" w:rsidP="00512628">
            <w:pPr>
              <w:spacing w:line="240" w:lineRule="auto"/>
              <w:ind w:firstLine="34"/>
              <w:jc w:val="both"/>
              <w:rPr>
                <w:rFonts w:ascii="Times New Roman" w:hAnsi="Times New Roman" w:cs="Times New Roman"/>
                <w:b/>
              </w:rPr>
            </w:pPr>
            <w:r w:rsidRPr="003F7CC6">
              <w:rPr>
                <w:rFonts w:ascii="Times New Roman" w:hAnsi="Times New Roman" w:cs="Times New Roman"/>
              </w:rPr>
              <w:t>Особливо-небезпечні інфекції (сибірська виразка, бруцельоз, туляремія, чума, холера).</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bottom w:val="nil"/>
            </w:tcBorders>
            <w:vAlign w:val="center"/>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tcPr>
          <w:p w:rsidR="00E57022" w:rsidRPr="0054393B" w:rsidRDefault="00E57022" w:rsidP="0054393B">
            <w:pPr>
              <w:widowControl w:val="0"/>
              <w:numPr>
                <w:ilvl w:val="0"/>
                <w:numId w:val="1"/>
              </w:numPr>
              <w:snapToGrid w:val="0"/>
              <w:spacing w:after="0" w:line="240" w:lineRule="auto"/>
              <w:ind w:left="0" w:firstLine="0"/>
              <w:jc w:val="center"/>
              <w:rPr>
                <w:rFonts w:ascii="Times New Roman" w:hAnsi="Times New Roman" w:cs="Times New Roman"/>
                <w:b/>
              </w:rPr>
            </w:pPr>
          </w:p>
        </w:tc>
        <w:tc>
          <w:tcPr>
            <w:tcW w:w="10773" w:type="dxa"/>
            <w:tcBorders>
              <w:right w:val="single" w:sz="4" w:space="0" w:color="auto"/>
            </w:tcBorders>
            <w:vAlign w:val="center"/>
            <w:hideMark/>
          </w:tcPr>
          <w:p w:rsidR="00E57022" w:rsidRPr="003F7CC6" w:rsidRDefault="00E57022" w:rsidP="00512628">
            <w:pPr>
              <w:spacing w:line="240" w:lineRule="auto"/>
              <w:ind w:firstLine="34"/>
              <w:jc w:val="both"/>
              <w:rPr>
                <w:rFonts w:ascii="Times New Roman" w:hAnsi="Times New Roman" w:cs="Times New Roman"/>
              </w:rPr>
            </w:pPr>
            <w:r w:rsidRPr="003F7CC6">
              <w:rPr>
                <w:rFonts w:ascii="Times New Roman" w:hAnsi="Times New Roman" w:cs="Times New Roman"/>
              </w:rPr>
              <w:t xml:space="preserve">Респіраторні бактеріальні інфекції (туберкульоз, лепра, дифтерія, кашлюк, інфлюенца). Гінгівіт, стоматит, глосит, </w:t>
            </w:r>
            <w:proofErr w:type="spellStart"/>
            <w:r w:rsidRPr="003F7CC6">
              <w:rPr>
                <w:rFonts w:ascii="Times New Roman" w:hAnsi="Times New Roman" w:cs="Times New Roman"/>
              </w:rPr>
              <w:t>хейліт</w:t>
            </w:r>
            <w:proofErr w:type="spellEnd"/>
            <w:r w:rsidRPr="003F7CC6">
              <w:rPr>
                <w:rFonts w:ascii="Times New Roman" w:hAnsi="Times New Roman" w:cs="Times New Roman"/>
              </w:rPr>
              <w:t>. Лабораторна діагностика. Ураження слизової рота різними мікроорганізмами. Лабораторна діагностика.</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tcPr>
          <w:p w:rsidR="00E57022" w:rsidRPr="0054393B" w:rsidRDefault="00E57022" w:rsidP="0054393B">
            <w:pPr>
              <w:widowControl w:val="0"/>
              <w:numPr>
                <w:ilvl w:val="0"/>
                <w:numId w:val="1"/>
              </w:numPr>
              <w:snapToGrid w:val="0"/>
              <w:spacing w:after="0" w:line="240" w:lineRule="auto"/>
              <w:ind w:left="0" w:firstLine="0"/>
              <w:jc w:val="center"/>
              <w:rPr>
                <w:rFonts w:ascii="Times New Roman" w:hAnsi="Times New Roman" w:cs="Times New Roman"/>
                <w:b/>
              </w:rPr>
            </w:pPr>
          </w:p>
        </w:tc>
        <w:tc>
          <w:tcPr>
            <w:tcW w:w="10773" w:type="dxa"/>
            <w:tcBorders>
              <w:right w:val="single" w:sz="4" w:space="0" w:color="auto"/>
            </w:tcBorders>
            <w:vAlign w:val="center"/>
            <w:hideMark/>
          </w:tcPr>
          <w:p w:rsidR="00E57022" w:rsidRPr="003F7CC6" w:rsidRDefault="00E57022" w:rsidP="00512628">
            <w:pPr>
              <w:spacing w:line="240" w:lineRule="auto"/>
              <w:ind w:firstLine="34"/>
              <w:jc w:val="both"/>
              <w:rPr>
                <w:rFonts w:ascii="Times New Roman" w:hAnsi="Times New Roman" w:cs="Times New Roman"/>
              </w:rPr>
            </w:pPr>
            <w:r w:rsidRPr="003F7CC6">
              <w:rPr>
                <w:rFonts w:ascii="Times New Roman" w:hAnsi="Times New Roman" w:cs="Times New Roman"/>
                <w:b/>
              </w:rPr>
              <w:t>Змістовний Модуль 1 (3)</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tcPr>
          <w:p w:rsidR="00E57022" w:rsidRPr="0054393B" w:rsidRDefault="00E57022" w:rsidP="0054393B">
            <w:pPr>
              <w:widowControl w:val="0"/>
              <w:numPr>
                <w:ilvl w:val="0"/>
                <w:numId w:val="1"/>
              </w:numPr>
              <w:snapToGrid w:val="0"/>
              <w:spacing w:after="0" w:line="240" w:lineRule="auto"/>
              <w:ind w:left="0" w:firstLine="0"/>
              <w:jc w:val="center"/>
              <w:rPr>
                <w:rFonts w:ascii="Times New Roman" w:hAnsi="Times New Roman" w:cs="Times New Roman"/>
                <w:b/>
              </w:rPr>
            </w:pPr>
          </w:p>
        </w:tc>
        <w:tc>
          <w:tcPr>
            <w:tcW w:w="10773" w:type="dxa"/>
            <w:tcBorders>
              <w:right w:val="single" w:sz="4" w:space="0" w:color="auto"/>
            </w:tcBorders>
            <w:vAlign w:val="center"/>
            <w:hideMark/>
          </w:tcPr>
          <w:p w:rsidR="00E57022" w:rsidRPr="003F7CC6" w:rsidRDefault="00E57022" w:rsidP="00512628">
            <w:pPr>
              <w:spacing w:line="240" w:lineRule="auto"/>
              <w:ind w:firstLine="34"/>
              <w:jc w:val="both"/>
              <w:rPr>
                <w:rFonts w:ascii="Times New Roman" w:hAnsi="Times New Roman" w:cs="Times New Roman"/>
              </w:rPr>
            </w:pPr>
            <w:r w:rsidRPr="003F7CC6">
              <w:rPr>
                <w:rFonts w:ascii="Times New Roman" w:hAnsi="Times New Roman" w:cs="Times New Roman"/>
              </w:rPr>
              <w:t>Збудники правцю, газової анаеробної інфекції і ботулізму. Патогенез цих захворювань і лабораторна діагностика.</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tcPr>
          <w:p w:rsidR="00E57022" w:rsidRPr="0054393B" w:rsidRDefault="00E57022" w:rsidP="0054393B">
            <w:pPr>
              <w:widowControl w:val="0"/>
              <w:numPr>
                <w:ilvl w:val="0"/>
                <w:numId w:val="1"/>
              </w:numPr>
              <w:snapToGrid w:val="0"/>
              <w:spacing w:after="0" w:line="240" w:lineRule="auto"/>
              <w:ind w:left="0" w:firstLine="0"/>
              <w:jc w:val="center"/>
              <w:rPr>
                <w:rFonts w:ascii="Times New Roman" w:hAnsi="Times New Roman" w:cs="Times New Roman"/>
                <w:b/>
              </w:rPr>
            </w:pPr>
          </w:p>
        </w:tc>
        <w:tc>
          <w:tcPr>
            <w:tcW w:w="10773" w:type="dxa"/>
            <w:tcBorders>
              <w:right w:val="single" w:sz="4" w:space="0" w:color="auto"/>
            </w:tcBorders>
            <w:vAlign w:val="center"/>
            <w:hideMark/>
          </w:tcPr>
          <w:p w:rsidR="00E57022" w:rsidRPr="003F7CC6" w:rsidRDefault="00E57022" w:rsidP="00512628">
            <w:pPr>
              <w:spacing w:line="240" w:lineRule="auto"/>
              <w:ind w:firstLine="34"/>
              <w:jc w:val="both"/>
              <w:rPr>
                <w:rFonts w:ascii="Times New Roman" w:hAnsi="Times New Roman" w:cs="Times New Roman"/>
              </w:rPr>
            </w:pPr>
            <w:r w:rsidRPr="003F7CC6">
              <w:rPr>
                <w:rFonts w:ascii="Times New Roman" w:hAnsi="Times New Roman" w:cs="Times New Roman"/>
              </w:rPr>
              <w:t xml:space="preserve">Характеристика </w:t>
            </w:r>
            <w:proofErr w:type="spellStart"/>
            <w:r w:rsidRPr="003F7CC6">
              <w:rPr>
                <w:rFonts w:ascii="Times New Roman" w:hAnsi="Times New Roman" w:cs="Times New Roman"/>
              </w:rPr>
              <w:t>рікетсіозних</w:t>
            </w:r>
            <w:proofErr w:type="spellEnd"/>
            <w:r w:rsidRPr="003F7CC6">
              <w:rPr>
                <w:rFonts w:ascii="Times New Roman" w:hAnsi="Times New Roman" w:cs="Times New Roman"/>
              </w:rPr>
              <w:t xml:space="preserve"> захворювань. Методи лабораторної діагностики та лікування. Мікоплазми і </w:t>
            </w:r>
            <w:proofErr w:type="spellStart"/>
            <w:r w:rsidRPr="003F7CC6">
              <w:rPr>
                <w:rFonts w:ascii="Times New Roman" w:hAnsi="Times New Roman" w:cs="Times New Roman"/>
              </w:rPr>
              <w:t>хламідії</w:t>
            </w:r>
            <w:proofErr w:type="spellEnd"/>
            <w:r w:rsidRPr="003F7CC6">
              <w:rPr>
                <w:rFonts w:ascii="Times New Roman" w:hAnsi="Times New Roman" w:cs="Times New Roman"/>
              </w:rPr>
              <w:t xml:space="preserve"> – збудники інфекційних хвороб людини. Методи лабораторної діагностики.</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972CAB"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tcPr>
          <w:p w:rsidR="00E57022" w:rsidRPr="0054393B" w:rsidRDefault="00E57022" w:rsidP="0054393B">
            <w:pPr>
              <w:widowControl w:val="0"/>
              <w:numPr>
                <w:ilvl w:val="0"/>
                <w:numId w:val="1"/>
              </w:numPr>
              <w:snapToGrid w:val="0"/>
              <w:spacing w:after="0" w:line="240" w:lineRule="auto"/>
              <w:ind w:left="0" w:firstLine="0"/>
              <w:jc w:val="center"/>
              <w:rPr>
                <w:rFonts w:ascii="Times New Roman" w:hAnsi="Times New Roman" w:cs="Times New Roman"/>
                <w:b/>
              </w:rPr>
            </w:pPr>
          </w:p>
        </w:tc>
        <w:tc>
          <w:tcPr>
            <w:tcW w:w="10773" w:type="dxa"/>
            <w:tcBorders>
              <w:right w:val="single" w:sz="4" w:space="0" w:color="auto"/>
            </w:tcBorders>
            <w:vAlign w:val="center"/>
            <w:hideMark/>
          </w:tcPr>
          <w:p w:rsidR="00E57022" w:rsidRPr="003F7CC6" w:rsidRDefault="00E57022" w:rsidP="00512628">
            <w:pPr>
              <w:spacing w:line="240" w:lineRule="auto"/>
              <w:ind w:firstLine="34"/>
              <w:jc w:val="both"/>
              <w:rPr>
                <w:rFonts w:ascii="Times New Roman" w:hAnsi="Times New Roman" w:cs="Times New Roman"/>
              </w:rPr>
            </w:pPr>
            <w:r w:rsidRPr="003F7CC6">
              <w:rPr>
                <w:rFonts w:ascii="Times New Roman" w:hAnsi="Times New Roman" w:cs="Times New Roman"/>
              </w:rPr>
              <w:t>Патогенні спірохети і захворювання, викликані ними.</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972CAB"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tcPr>
          <w:p w:rsidR="00E57022" w:rsidRPr="0054393B" w:rsidRDefault="00E57022" w:rsidP="0054393B">
            <w:pPr>
              <w:widowControl w:val="0"/>
              <w:numPr>
                <w:ilvl w:val="0"/>
                <w:numId w:val="1"/>
              </w:numPr>
              <w:snapToGrid w:val="0"/>
              <w:spacing w:after="0" w:line="240" w:lineRule="auto"/>
              <w:ind w:left="0" w:firstLine="0"/>
              <w:jc w:val="center"/>
              <w:rPr>
                <w:rFonts w:ascii="Times New Roman" w:hAnsi="Times New Roman" w:cs="Times New Roman"/>
                <w:b/>
                <w:color w:val="FF0000"/>
              </w:rPr>
            </w:pPr>
          </w:p>
        </w:tc>
        <w:tc>
          <w:tcPr>
            <w:tcW w:w="10773" w:type="dxa"/>
            <w:tcBorders>
              <w:right w:val="single" w:sz="4" w:space="0" w:color="auto"/>
            </w:tcBorders>
            <w:vAlign w:val="center"/>
            <w:hideMark/>
          </w:tcPr>
          <w:p w:rsidR="00E57022" w:rsidRPr="00347F0E" w:rsidRDefault="00B14C64" w:rsidP="00512628">
            <w:pPr>
              <w:spacing w:line="240" w:lineRule="auto"/>
              <w:ind w:firstLine="34"/>
              <w:jc w:val="both"/>
              <w:rPr>
                <w:rFonts w:ascii="Times New Roman" w:hAnsi="Times New Roman" w:cs="Times New Roman"/>
                <w:color w:val="FF0000"/>
              </w:rPr>
            </w:pPr>
            <w:r w:rsidRPr="003F7CC6">
              <w:rPr>
                <w:rFonts w:ascii="Times New Roman" w:hAnsi="Times New Roman" w:cs="Times New Roman"/>
              </w:rPr>
              <w:t>Патогенні гриби. Поверхневі та глибокі мікози. Лабораторна діагностика і лікування.</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B14C64"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B14C64" w:rsidRDefault="00E57022" w:rsidP="00A00DD3">
            <w:pPr>
              <w:spacing w:line="240" w:lineRule="auto"/>
              <w:ind w:firstLine="34"/>
              <w:jc w:val="center"/>
              <w:rPr>
                <w:rFonts w:ascii="Times New Roman" w:hAnsi="Times New Roman" w:cs="Times New Roman"/>
              </w:rPr>
            </w:pPr>
            <w:r w:rsidRPr="00B14C64">
              <w:rPr>
                <w:rFonts w:ascii="Times New Roman" w:hAnsi="Times New Roman" w:cs="Times New Roman"/>
              </w:rPr>
              <w:t>2</w:t>
            </w:r>
          </w:p>
        </w:tc>
      </w:tr>
      <w:tr w:rsidR="00E57022" w:rsidRPr="003F7CC6" w:rsidTr="00512628">
        <w:trPr>
          <w:cantSplit/>
        </w:trPr>
        <w:tc>
          <w:tcPr>
            <w:tcW w:w="709" w:type="dxa"/>
            <w:vAlign w:val="center"/>
            <w:hideMark/>
          </w:tcPr>
          <w:p w:rsidR="00E57022" w:rsidRPr="0054393B" w:rsidRDefault="00E57022" w:rsidP="0054393B">
            <w:pPr>
              <w:spacing w:line="240" w:lineRule="auto"/>
              <w:jc w:val="center"/>
              <w:rPr>
                <w:rFonts w:ascii="Times New Roman" w:hAnsi="Times New Roman" w:cs="Times New Roman"/>
                <w:b/>
              </w:rPr>
            </w:pPr>
            <w:r w:rsidRPr="0054393B">
              <w:rPr>
                <w:rFonts w:ascii="Times New Roman" w:hAnsi="Times New Roman" w:cs="Times New Roman"/>
                <w:b/>
              </w:rPr>
              <w:t>1</w:t>
            </w:r>
            <w:r w:rsidR="00B14C64">
              <w:rPr>
                <w:rFonts w:ascii="Times New Roman" w:hAnsi="Times New Roman" w:cs="Times New Roman"/>
                <w:b/>
              </w:rPr>
              <w:t>1.</w:t>
            </w:r>
          </w:p>
        </w:tc>
        <w:tc>
          <w:tcPr>
            <w:tcW w:w="10773" w:type="dxa"/>
            <w:tcBorders>
              <w:right w:val="single" w:sz="4" w:space="0" w:color="auto"/>
            </w:tcBorders>
            <w:vAlign w:val="center"/>
            <w:hideMark/>
          </w:tcPr>
          <w:p w:rsidR="00E57022" w:rsidRPr="003D2636" w:rsidRDefault="00B14C64" w:rsidP="00512628">
            <w:pPr>
              <w:spacing w:line="240" w:lineRule="auto"/>
              <w:ind w:firstLine="34"/>
              <w:jc w:val="both"/>
              <w:rPr>
                <w:rFonts w:ascii="Times New Roman" w:hAnsi="Times New Roman" w:cs="Times New Roman"/>
              </w:rPr>
            </w:pPr>
            <w:r w:rsidRPr="003D2636">
              <w:rPr>
                <w:rFonts w:ascii="Times New Roman" w:hAnsi="Times New Roman" w:cs="Times New Roman"/>
              </w:rPr>
              <w:t>Патогенні найпростіші. Лабораторні методи досліджень при захворюваннях, викликаних патогенними найпростішими.</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hideMark/>
          </w:tcPr>
          <w:p w:rsidR="00E57022" w:rsidRPr="0054393B" w:rsidRDefault="00E57022" w:rsidP="0054393B">
            <w:pPr>
              <w:spacing w:line="240" w:lineRule="auto"/>
              <w:jc w:val="center"/>
              <w:rPr>
                <w:rFonts w:ascii="Times New Roman" w:hAnsi="Times New Roman" w:cs="Times New Roman"/>
                <w:b/>
              </w:rPr>
            </w:pPr>
            <w:r w:rsidRPr="0054393B">
              <w:rPr>
                <w:rFonts w:ascii="Times New Roman" w:hAnsi="Times New Roman" w:cs="Times New Roman"/>
                <w:b/>
              </w:rPr>
              <w:t>12</w:t>
            </w:r>
          </w:p>
        </w:tc>
        <w:tc>
          <w:tcPr>
            <w:tcW w:w="10773" w:type="dxa"/>
            <w:tcBorders>
              <w:right w:val="single" w:sz="4" w:space="0" w:color="auto"/>
            </w:tcBorders>
            <w:vAlign w:val="center"/>
            <w:hideMark/>
          </w:tcPr>
          <w:p w:rsidR="00E57022" w:rsidRPr="003F7CC6" w:rsidRDefault="00E57022" w:rsidP="00512628">
            <w:pPr>
              <w:spacing w:line="240" w:lineRule="auto"/>
              <w:ind w:firstLine="34"/>
              <w:jc w:val="both"/>
              <w:rPr>
                <w:rFonts w:ascii="Times New Roman" w:hAnsi="Times New Roman" w:cs="Times New Roman"/>
              </w:rPr>
            </w:pPr>
            <w:r w:rsidRPr="003F7CC6">
              <w:rPr>
                <w:rFonts w:ascii="Times New Roman" w:hAnsi="Times New Roman" w:cs="Times New Roman"/>
                <w:b/>
              </w:rPr>
              <w:t>Змістовний Модуль 2 (4)</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hideMark/>
          </w:tcPr>
          <w:p w:rsidR="00E57022" w:rsidRPr="00972CAB" w:rsidRDefault="00E57022" w:rsidP="0054393B">
            <w:pPr>
              <w:spacing w:line="240" w:lineRule="auto"/>
              <w:jc w:val="center"/>
              <w:rPr>
                <w:rFonts w:ascii="Times New Roman" w:hAnsi="Times New Roman" w:cs="Times New Roman"/>
                <w:b/>
              </w:rPr>
            </w:pPr>
            <w:r w:rsidRPr="00972CAB">
              <w:rPr>
                <w:rFonts w:ascii="Times New Roman" w:hAnsi="Times New Roman" w:cs="Times New Roman"/>
                <w:b/>
              </w:rPr>
              <w:lastRenderedPageBreak/>
              <w:t>13</w:t>
            </w:r>
          </w:p>
        </w:tc>
        <w:tc>
          <w:tcPr>
            <w:tcW w:w="10773" w:type="dxa"/>
            <w:tcBorders>
              <w:right w:val="single" w:sz="4" w:space="0" w:color="auto"/>
            </w:tcBorders>
            <w:vAlign w:val="center"/>
            <w:hideMark/>
          </w:tcPr>
          <w:p w:rsidR="00E57022" w:rsidRPr="00972CAB" w:rsidRDefault="00E57022" w:rsidP="00512628">
            <w:pPr>
              <w:spacing w:line="240" w:lineRule="auto"/>
              <w:ind w:firstLine="34"/>
              <w:jc w:val="both"/>
              <w:rPr>
                <w:rFonts w:ascii="Times New Roman" w:hAnsi="Times New Roman" w:cs="Times New Roman"/>
                <w:b/>
              </w:rPr>
            </w:pPr>
            <w:r w:rsidRPr="00972CAB">
              <w:rPr>
                <w:rFonts w:ascii="Times New Roman" w:hAnsi="Times New Roman" w:cs="Times New Roman"/>
              </w:rPr>
              <w:t>Загальна характеристика вірусних інфекцій. Повільні вірусні інфекції.</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217CF3" w:rsidRDefault="00E57022" w:rsidP="00512628">
            <w:pPr>
              <w:spacing w:line="240" w:lineRule="auto"/>
              <w:ind w:firstLine="34"/>
              <w:jc w:val="center"/>
              <w:rPr>
                <w:rFonts w:ascii="Times New Roman" w:hAnsi="Times New Roman" w:cs="Times New Roman"/>
                <w:color w:val="FF0000"/>
              </w:rPr>
            </w:pPr>
          </w:p>
        </w:tc>
        <w:tc>
          <w:tcPr>
            <w:tcW w:w="1701" w:type="dxa"/>
            <w:tcBorders>
              <w:left w:val="single" w:sz="4" w:space="0" w:color="auto"/>
            </w:tcBorders>
            <w:hideMark/>
          </w:tcPr>
          <w:p w:rsidR="00E57022" w:rsidRPr="00217CF3" w:rsidRDefault="00E57022" w:rsidP="00A00DD3">
            <w:pPr>
              <w:spacing w:line="240" w:lineRule="auto"/>
              <w:ind w:firstLine="34"/>
              <w:jc w:val="center"/>
              <w:rPr>
                <w:rFonts w:ascii="Times New Roman" w:hAnsi="Times New Roman" w:cs="Times New Roman"/>
                <w:color w:val="FF0000"/>
              </w:rPr>
            </w:pPr>
            <w:r w:rsidRPr="00217CF3">
              <w:rPr>
                <w:rFonts w:ascii="Times New Roman" w:hAnsi="Times New Roman" w:cs="Times New Roman"/>
                <w:color w:val="FF0000"/>
              </w:rPr>
              <w:t>2</w:t>
            </w:r>
          </w:p>
        </w:tc>
      </w:tr>
      <w:tr w:rsidR="00E57022" w:rsidRPr="003F7CC6" w:rsidTr="00512628">
        <w:trPr>
          <w:cantSplit/>
        </w:trPr>
        <w:tc>
          <w:tcPr>
            <w:tcW w:w="709" w:type="dxa"/>
            <w:vAlign w:val="center"/>
            <w:hideMark/>
          </w:tcPr>
          <w:p w:rsidR="00E57022" w:rsidRPr="00972CAB" w:rsidRDefault="00E57022" w:rsidP="0054393B">
            <w:pPr>
              <w:spacing w:line="240" w:lineRule="auto"/>
              <w:jc w:val="center"/>
              <w:rPr>
                <w:rFonts w:ascii="Times New Roman" w:hAnsi="Times New Roman" w:cs="Times New Roman"/>
                <w:b/>
              </w:rPr>
            </w:pPr>
            <w:r w:rsidRPr="00972CAB">
              <w:rPr>
                <w:rFonts w:ascii="Times New Roman" w:hAnsi="Times New Roman" w:cs="Times New Roman"/>
                <w:b/>
              </w:rPr>
              <w:t>14</w:t>
            </w:r>
          </w:p>
        </w:tc>
        <w:tc>
          <w:tcPr>
            <w:tcW w:w="10773" w:type="dxa"/>
            <w:tcBorders>
              <w:right w:val="single" w:sz="4" w:space="0" w:color="auto"/>
            </w:tcBorders>
            <w:vAlign w:val="center"/>
          </w:tcPr>
          <w:p w:rsidR="00E57022" w:rsidRPr="00972CAB" w:rsidRDefault="00E57022" w:rsidP="00512628">
            <w:pPr>
              <w:pStyle w:val="a4"/>
              <w:spacing w:after="0"/>
              <w:jc w:val="both"/>
              <w:rPr>
                <w:rFonts w:ascii="Times New Roman" w:hAnsi="Times New Roman" w:cs="Times New Roman"/>
                <w:color w:val="auto"/>
                <w:sz w:val="22"/>
                <w:szCs w:val="22"/>
              </w:rPr>
            </w:pPr>
            <w:r w:rsidRPr="00972CAB">
              <w:rPr>
                <w:rFonts w:ascii="Times New Roman" w:hAnsi="Times New Roman" w:cs="Times New Roman"/>
                <w:color w:val="auto"/>
                <w:sz w:val="22"/>
                <w:szCs w:val="22"/>
              </w:rPr>
              <w:t>Загальна характеристика родин ДНК вірусів, патогенез, клініка, лабораторна діагностика хвороб, які вони викликають.</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217CF3" w:rsidRDefault="00E57022" w:rsidP="00512628">
            <w:pPr>
              <w:spacing w:line="240" w:lineRule="auto"/>
              <w:ind w:firstLine="34"/>
              <w:jc w:val="center"/>
              <w:rPr>
                <w:rFonts w:ascii="Times New Roman" w:hAnsi="Times New Roman" w:cs="Times New Roman"/>
                <w:color w:val="FF0000"/>
              </w:rPr>
            </w:pPr>
          </w:p>
        </w:tc>
        <w:tc>
          <w:tcPr>
            <w:tcW w:w="1701" w:type="dxa"/>
            <w:tcBorders>
              <w:left w:val="single" w:sz="4" w:space="0" w:color="auto"/>
            </w:tcBorders>
          </w:tcPr>
          <w:p w:rsidR="00E57022" w:rsidRPr="00972CAB" w:rsidRDefault="00E57022" w:rsidP="00A00DD3">
            <w:pPr>
              <w:spacing w:line="240" w:lineRule="auto"/>
              <w:ind w:firstLine="34"/>
              <w:jc w:val="center"/>
              <w:rPr>
                <w:rFonts w:ascii="Times New Roman" w:hAnsi="Times New Roman" w:cs="Times New Roman"/>
              </w:rPr>
            </w:pPr>
            <w:r w:rsidRPr="00972CAB">
              <w:rPr>
                <w:rFonts w:ascii="Times New Roman" w:hAnsi="Times New Roman" w:cs="Times New Roman"/>
              </w:rPr>
              <w:t>2</w:t>
            </w:r>
          </w:p>
        </w:tc>
      </w:tr>
      <w:tr w:rsidR="00E57022" w:rsidRPr="003F7CC6" w:rsidTr="00512628">
        <w:trPr>
          <w:cantSplit/>
        </w:trPr>
        <w:tc>
          <w:tcPr>
            <w:tcW w:w="709" w:type="dxa"/>
            <w:vAlign w:val="center"/>
            <w:hideMark/>
          </w:tcPr>
          <w:p w:rsidR="00E57022" w:rsidRPr="0054393B" w:rsidRDefault="00E57022" w:rsidP="0054393B">
            <w:pPr>
              <w:spacing w:line="240" w:lineRule="auto"/>
              <w:jc w:val="center"/>
              <w:rPr>
                <w:rFonts w:ascii="Times New Roman" w:hAnsi="Times New Roman" w:cs="Times New Roman"/>
                <w:b/>
              </w:rPr>
            </w:pPr>
            <w:r w:rsidRPr="0054393B">
              <w:rPr>
                <w:rFonts w:ascii="Times New Roman" w:hAnsi="Times New Roman" w:cs="Times New Roman"/>
                <w:b/>
              </w:rPr>
              <w:t>15</w:t>
            </w:r>
          </w:p>
        </w:tc>
        <w:tc>
          <w:tcPr>
            <w:tcW w:w="10773" w:type="dxa"/>
            <w:tcBorders>
              <w:right w:val="single" w:sz="4" w:space="0" w:color="auto"/>
            </w:tcBorders>
            <w:vAlign w:val="center"/>
            <w:hideMark/>
          </w:tcPr>
          <w:p w:rsidR="00E57022" w:rsidRPr="003F7CC6" w:rsidRDefault="00E57022" w:rsidP="00512628">
            <w:pPr>
              <w:pStyle w:val="a4"/>
              <w:spacing w:after="0"/>
              <w:jc w:val="both"/>
              <w:rPr>
                <w:rFonts w:ascii="Times New Roman" w:hAnsi="Times New Roman" w:cs="Times New Roman"/>
                <w:sz w:val="22"/>
                <w:szCs w:val="22"/>
              </w:rPr>
            </w:pPr>
            <w:r w:rsidRPr="003F7CC6">
              <w:rPr>
                <w:rFonts w:ascii="Times New Roman" w:hAnsi="Times New Roman" w:cs="Times New Roman"/>
                <w:sz w:val="22"/>
                <w:szCs w:val="22"/>
              </w:rPr>
              <w:t>Респіраторні вірусні інфекції. Гострі кишкові вірусні інфекції.</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hideMark/>
          </w:tcPr>
          <w:p w:rsidR="00E57022" w:rsidRPr="0054393B" w:rsidRDefault="00E57022" w:rsidP="0054393B">
            <w:pPr>
              <w:spacing w:line="240" w:lineRule="auto"/>
              <w:jc w:val="center"/>
              <w:rPr>
                <w:rFonts w:ascii="Times New Roman" w:hAnsi="Times New Roman" w:cs="Times New Roman"/>
                <w:b/>
              </w:rPr>
            </w:pPr>
            <w:r w:rsidRPr="0054393B">
              <w:rPr>
                <w:rFonts w:ascii="Times New Roman" w:hAnsi="Times New Roman" w:cs="Times New Roman"/>
                <w:b/>
              </w:rPr>
              <w:t>16</w:t>
            </w:r>
          </w:p>
        </w:tc>
        <w:tc>
          <w:tcPr>
            <w:tcW w:w="10773" w:type="dxa"/>
            <w:tcBorders>
              <w:right w:val="single" w:sz="4" w:space="0" w:color="auto"/>
            </w:tcBorders>
            <w:vAlign w:val="center"/>
            <w:hideMark/>
          </w:tcPr>
          <w:p w:rsidR="00E57022" w:rsidRPr="003F7CC6" w:rsidRDefault="00E57022" w:rsidP="00512628">
            <w:pPr>
              <w:pStyle w:val="a4"/>
              <w:spacing w:after="0"/>
              <w:jc w:val="both"/>
              <w:rPr>
                <w:rFonts w:ascii="Times New Roman" w:hAnsi="Times New Roman" w:cs="Times New Roman"/>
                <w:sz w:val="22"/>
                <w:szCs w:val="22"/>
              </w:rPr>
            </w:pPr>
            <w:r w:rsidRPr="003F7CC6">
              <w:rPr>
                <w:rFonts w:ascii="Times New Roman" w:hAnsi="Times New Roman" w:cs="Times New Roman"/>
                <w:sz w:val="22"/>
                <w:szCs w:val="22"/>
              </w:rPr>
              <w:t>Гепатити.</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hideMark/>
          </w:tcPr>
          <w:p w:rsidR="00E57022" w:rsidRPr="0054393B" w:rsidRDefault="00E57022" w:rsidP="0054393B">
            <w:pPr>
              <w:spacing w:line="240" w:lineRule="auto"/>
              <w:jc w:val="center"/>
              <w:rPr>
                <w:rFonts w:ascii="Times New Roman" w:hAnsi="Times New Roman" w:cs="Times New Roman"/>
                <w:b/>
              </w:rPr>
            </w:pPr>
            <w:r w:rsidRPr="0054393B">
              <w:rPr>
                <w:rFonts w:ascii="Times New Roman" w:hAnsi="Times New Roman" w:cs="Times New Roman"/>
                <w:b/>
              </w:rPr>
              <w:t>17</w:t>
            </w:r>
          </w:p>
        </w:tc>
        <w:tc>
          <w:tcPr>
            <w:tcW w:w="10773" w:type="dxa"/>
            <w:tcBorders>
              <w:right w:val="single" w:sz="4" w:space="0" w:color="auto"/>
            </w:tcBorders>
            <w:vAlign w:val="center"/>
            <w:hideMark/>
          </w:tcPr>
          <w:p w:rsidR="00E57022" w:rsidRPr="003F7CC6" w:rsidRDefault="00E57022" w:rsidP="00512628">
            <w:pPr>
              <w:pStyle w:val="a4"/>
              <w:spacing w:after="0"/>
              <w:jc w:val="both"/>
              <w:rPr>
                <w:rFonts w:ascii="Times New Roman" w:hAnsi="Times New Roman" w:cs="Times New Roman"/>
                <w:sz w:val="22"/>
                <w:szCs w:val="22"/>
              </w:rPr>
            </w:pPr>
            <w:proofErr w:type="spellStart"/>
            <w:r w:rsidRPr="003F7CC6">
              <w:rPr>
                <w:rFonts w:ascii="Times New Roman" w:hAnsi="Times New Roman" w:cs="Times New Roman"/>
                <w:sz w:val="22"/>
                <w:szCs w:val="22"/>
              </w:rPr>
              <w:t>Ретровіруси</w:t>
            </w:r>
            <w:proofErr w:type="spellEnd"/>
            <w:r w:rsidRPr="003F7CC6">
              <w:rPr>
                <w:rFonts w:ascii="Times New Roman" w:hAnsi="Times New Roman" w:cs="Times New Roman"/>
                <w:sz w:val="22"/>
                <w:szCs w:val="22"/>
              </w:rPr>
              <w:t>. СНІД. Онкогенні віруси.</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hideMark/>
          </w:tcPr>
          <w:p w:rsidR="00E57022" w:rsidRPr="0054393B" w:rsidRDefault="00E57022" w:rsidP="0054393B">
            <w:pPr>
              <w:spacing w:line="240" w:lineRule="auto"/>
              <w:jc w:val="center"/>
              <w:rPr>
                <w:rFonts w:ascii="Times New Roman" w:hAnsi="Times New Roman" w:cs="Times New Roman"/>
                <w:b/>
              </w:rPr>
            </w:pPr>
            <w:r w:rsidRPr="0054393B">
              <w:rPr>
                <w:rFonts w:ascii="Times New Roman" w:hAnsi="Times New Roman" w:cs="Times New Roman"/>
                <w:b/>
              </w:rPr>
              <w:t>18</w:t>
            </w:r>
          </w:p>
        </w:tc>
        <w:tc>
          <w:tcPr>
            <w:tcW w:w="10773" w:type="dxa"/>
            <w:tcBorders>
              <w:right w:val="single" w:sz="4" w:space="0" w:color="auto"/>
            </w:tcBorders>
            <w:vAlign w:val="center"/>
            <w:hideMark/>
          </w:tcPr>
          <w:p w:rsidR="00E57022" w:rsidRPr="003F7CC6" w:rsidRDefault="00E57022" w:rsidP="00512628">
            <w:pPr>
              <w:pStyle w:val="a4"/>
              <w:spacing w:after="0"/>
              <w:jc w:val="both"/>
              <w:rPr>
                <w:rFonts w:ascii="Times New Roman" w:hAnsi="Times New Roman" w:cs="Times New Roman"/>
                <w:sz w:val="22"/>
                <w:szCs w:val="22"/>
              </w:rPr>
            </w:pPr>
            <w:r w:rsidRPr="003F7CC6">
              <w:rPr>
                <w:rFonts w:ascii="Times New Roman" w:hAnsi="Times New Roman" w:cs="Times New Roman"/>
                <w:b/>
                <w:sz w:val="22"/>
                <w:szCs w:val="22"/>
              </w:rPr>
              <w:t>Змістовний Модуль 3 (5)</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hideMark/>
          </w:tcPr>
          <w:p w:rsidR="00E57022" w:rsidRPr="0054393B" w:rsidRDefault="00E57022" w:rsidP="0054393B">
            <w:pPr>
              <w:spacing w:line="240" w:lineRule="auto"/>
              <w:jc w:val="center"/>
              <w:rPr>
                <w:rFonts w:ascii="Times New Roman" w:hAnsi="Times New Roman" w:cs="Times New Roman"/>
                <w:b/>
              </w:rPr>
            </w:pPr>
            <w:r w:rsidRPr="0054393B">
              <w:rPr>
                <w:rFonts w:ascii="Times New Roman" w:hAnsi="Times New Roman" w:cs="Times New Roman"/>
                <w:b/>
              </w:rPr>
              <w:t>19</w:t>
            </w:r>
          </w:p>
        </w:tc>
        <w:tc>
          <w:tcPr>
            <w:tcW w:w="10773" w:type="dxa"/>
            <w:tcBorders>
              <w:right w:val="single" w:sz="4" w:space="0" w:color="auto"/>
            </w:tcBorders>
            <w:vAlign w:val="center"/>
            <w:hideMark/>
          </w:tcPr>
          <w:p w:rsidR="00E57022" w:rsidRPr="003F7CC6" w:rsidRDefault="00E57022" w:rsidP="00512628">
            <w:pPr>
              <w:pStyle w:val="a4"/>
              <w:spacing w:after="0"/>
              <w:jc w:val="both"/>
              <w:rPr>
                <w:rFonts w:ascii="Times New Roman" w:hAnsi="Times New Roman" w:cs="Times New Roman"/>
                <w:b/>
                <w:sz w:val="22"/>
                <w:szCs w:val="22"/>
              </w:rPr>
            </w:pPr>
            <w:r w:rsidRPr="003F7CC6">
              <w:rPr>
                <w:rFonts w:ascii="Times New Roman" w:hAnsi="Times New Roman" w:cs="Times New Roman"/>
                <w:b/>
                <w:sz w:val="22"/>
                <w:szCs w:val="22"/>
              </w:rPr>
              <w:t>Екзаменаційний КРОК-1</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709" w:type="dxa"/>
            <w:vAlign w:val="center"/>
            <w:hideMark/>
          </w:tcPr>
          <w:p w:rsidR="00E57022" w:rsidRPr="0054393B" w:rsidRDefault="00E57022" w:rsidP="0054393B">
            <w:pPr>
              <w:spacing w:line="240" w:lineRule="auto"/>
              <w:jc w:val="center"/>
              <w:rPr>
                <w:rFonts w:ascii="Times New Roman" w:hAnsi="Times New Roman" w:cs="Times New Roman"/>
                <w:b/>
              </w:rPr>
            </w:pPr>
            <w:r w:rsidRPr="0054393B">
              <w:rPr>
                <w:rFonts w:ascii="Times New Roman" w:hAnsi="Times New Roman" w:cs="Times New Roman"/>
                <w:b/>
              </w:rPr>
              <w:t>20</w:t>
            </w:r>
          </w:p>
        </w:tc>
        <w:tc>
          <w:tcPr>
            <w:tcW w:w="10773" w:type="dxa"/>
            <w:tcBorders>
              <w:right w:val="single" w:sz="4" w:space="0" w:color="auto"/>
            </w:tcBorders>
            <w:vAlign w:val="center"/>
            <w:hideMark/>
          </w:tcPr>
          <w:p w:rsidR="00E57022" w:rsidRPr="003F7CC6" w:rsidRDefault="00E57022" w:rsidP="00512628">
            <w:pPr>
              <w:pStyle w:val="a4"/>
              <w:spacing w:after="0"/>
              <w:jc w:val="both"/>
              <w:rPr>
                <w:rFonts w:ascii="Times New Roman" w:hAnsi="Times New Roman" w:cs="Times New Roman"/>
                <w:sz w:val="22"/>
                <w:szCs w:val="22"/>
              </w:rPr>
            </w:pPr>
            <w:r w:rsidRPr="003F7CC6">
              <w:rPr>
                <w:rFonts w:ascii="Times New Roman" w:hAnsi="Times New Roman" w:cs="Times New Roman"/>
                <w:b/>
                <w:sz w:val="22"/>
                <w:szCs w:val="22"/>
              </w:rPr>
              <w:t>Екзаменаційний  МОДУЛЬ (іспит)</w:t>
            </w:r>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hideMark/>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2</w:t>
            </w:r>
          </w:p>
        </w:tc>
      </w:tr>
      <w:tr w:rsidR="00E57022" w:rsidRPr="003F7CC6" w:rsidTr="00512628">
        <w:trPr>
          <w:cantSplit/>
        </w:trPr>
        <w:tc>
          <w:tcPr>
            <w:tcW w:w="11482" w:type="dxa"/>
            <w:gridSpan w:val="2"/>
            <w:tcBorders>
              <w:right w:val="single" w:sz="4" w:space="0" w:color="auto"/>
            </w:tcBorders>
            <w:vAlign w:val="center"/>
          </w:tcPr>
          <w:p w:rsidR="00E57022" w:rsidRPr="0054393B" w:rsidRDefault="00E57022" w:rsidP="0054393B">
            <w:pPr>
              <w:pStyle w:val="a4"/>
              <w:spacing w:after="0"/>
              <w:jc w:val="center"/>
              <w:rPr>
                <w:rFonts w:ascii="Times New Roman" w:hAnsi="Times New Roman" w:cs="Times New Roman"/>
                <w:b/>
                <w:sz w:val="22"/>
                <w:szCs w:val="22"/>
              </w:rPr>
            </w:pPr>
            <w:proofErr w:type="spellStart"/>
            <w:r w:rsidRPr="0054393B">
              <w:rPr>
                <w:rFonts w:ascii="Times New Roman" w:hAnsi="Times New Roman" w:cs="Times New Roman"/>
                <w:b/>
                <w:sz w:val="22"/>
                <w:szCs w:val="22"/>
                <w:lang w:val="en-US"/>
              </w:rPr>
              <w:t>Всього</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E57022" w:rsidRPr="003F7CC6" w:rsidRDefault="00E57022" w:rsidP="00512628">
            <w:pPr>
              <w:spacing w:line="240" w:lineRule="auto"/>
              <w:ind w:firstLine="34"/>
              <w:jc w:val="center"/>
              <w:rPr>
                <w:rFonts w:ascii="Times New Roman" w:hAnsi="Times New Roman" w:cs="Times New Roman"/>
              </w:rPr>
            </w:pPr>
          </w:p>
        </w:tc>
        <w:tc>
          <w:tcPr>
            <w:tcW w:w="1701" w:type="dxa"/>
            <w:tcBorders>
              <w:left w:val="single" w:sz="4" w:space="0" w:color="auto"/>
            </w:tcBorders>
          </w:tcPr>
          <w:p w:rsidR="00E57022" w:rsidRPr="003F7CC6" w:rsidRDefault="00E57022" w:rsidP="00A00DD3">
            <w:pPr>
              <w:spacing w:line="240" w:lineRule="auto"/>
              <w:ind w:firstLine="34"/>
              <w:jc w:val="center"/>
              <w:rPr>
                <w:rFonts w:ascii="Times New Roman" w:hAnsi="Times New Roman" w:cs="Times New Roman"/>
              </w:rPr>
            </w:pPr>
            <w:r w:rsidRPr="003F7CC6">
              <w:rPr>
                <w:rFonts w:ascii="Times New Roman" w:hAnsi="Times New Roman" w:cs="Times New Roman"/>
              </w:rPr>
              <w:t>40</w:t>
            </w:r>
          </w:p>
        </w:tc>
      </w:tr>
    </w:tbl>
    <w:p w:rsidR="00B51DB6" w:rsidRPr="003F7CC6" w:rsidRDefault="00B51DB6" w:rsidP="003F7CC6">
      <w:pPr>
        <w:rPr>
          <w:rFonts w:ascii="Times New Roman" w:hAnsi="Times New Roman" w:cs="Times New Roman"/>
        </w:rPr>
      </w:pPr>
    </w:p>
    <w:sectPr w:rsidR="00B51DB6" w:rsidRPr="003F7CC6" w:rsidSect="00E57022">
      <w:pgSz w:w="16838" w:h="11906" w:orient="landscape"/>
      <w:pgMar w:top="709" w:right="426" w:bottom="42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218FE"/>
    <w:multiLevelType w:val="hybridMultilevel"/>
    <w:tmpl w:val="01D250CA"/>
    <w:lvl w:ilvl="0" w:tplc="DF4C2990">
      <w:start w:val="1"/>
      <w:numFmt w:val="decimal"/>
      <w:lvlText w:val="%1."/>
      <w:lvlJc w:val="left"/>
      <w:pPr>
        <w:tabs>
          <w:tab w:val="num" w:pos="720"/>
        </w:tabs>
        <w:ind w:left="720" w:hanging="360"/>
      </w:pPr>
      <w:rPr>
        <w:rFonts w:cs="Times New Roman"/>
        <w:color w:val="auto"/>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3F7CC6"/>
    <w:rsid w:val="000D6BEC"/>
    <w:rsid w:val="001751F6"/>
    <w:rsid w:val="00217CF3"/>
    <w:rsid w:val="00243F1E"/>
    <w:rsid w:val="00291C7C"/>
    <w:rsid w:val="00300867"/>
    <w:rsid w:val="00347F0E"/>
    <w:rsid w:val="003D2636"/>
    <w:rsid w:val="003F7CC6"/>
    <w:rsid w:val="00427A4B"/>
    <w:rsid w:val="004369D5"/>
    <w:rsid w:val="004E5124"/>
    <w:rsid w:val="00512628"/>
    <w:rsid w:val="0054393B"/>
    <w:rsid w:val="00580C08"/>
    <w:rsid w:val="00580CD3"/>
    <w:rsid w:val="005D76AD"/>
    <w:rsid w:val="008A06A6"/>
    <w:rsid w:val="009443D8"/>
    <w:rsid w:val="00972CAB"/>
    <w:rsid w:val="00B0350D"/>
    <w:rsid w:val="00B14C64"/>
    <w:rsid w:val="00B51DB6"/>
    <w:rsid w:val="00C27C80"/>
    <w:rsid w:val="00C94A6A"/>
    <w:rsid w:val="00E57022"/>
    <w:rsid w:val="00FA0E92"/>
    <w:rsid w:val="00FF29C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C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uiPriority w:val="99"/>
    <w:locked/>
    <w:rsid w:val="003F7CC6"/>
    <w:rPr>
      <w:rFonts w:ascii="Times New Roman" w:hAnsi="Times New Roman" w:cs="Times New Roman"/>
      <w:sz w:val="26"/>
      <w:szCs w:val="26"/>
      <w:shd w:val="clear" w:color="auto" w:fill="FFFFFF"/>
    </w:rPr>
  </w:style>
  <w:style w:type="character" w:customStyle="1" w:styleId="3">
    <w:name w:val="Заголовок №3_"/>
    <w:basedOn w:val="a0"/>
    <w:link w:val="30"/>
    <w:uiPriority w:val="99"/>
    <w:locked/>
    <w:rsid w:val="003F7CC6"/>
    <w:rPr>
      <w:rFonts w:ascii="Times New Roman" w:hAnsi="Times New Roman" w:cs="Times New Roman"/>
      <w:b/>
      <w:bCs/>
      <w:sz w:val="26"/>
      <w:szCs w:val="26"/>
      <w:shd w:val="clear" w:color="auto" w:fill="FFFFFF"/>
    </w:rPr>
  </w:style>
  <w:style w:type="paragraph" w:customStyle="1" w:styleId="1">
    <w:name w:val="Основний текст1"/>
    <w:basedOn w:val="a"/>
    <w:link w:val="a3"/>
    <w:uiPriority w:val="99"/>
    <w:rsid w:val="003F7CC6"/>
    <w:pPr>
      <w:shd w:val="clear" w:color="auto" w:fill="FFFFFF"/>
      <w:spacing w:after="0" w:line="317" w:lineRule="exact"/>
      <w:ind w:hanging="420"/>
      <w:jc w:val="center"/>
    </w:pPr>
    <w:rPr>
      <w:rFonts w:ascii="Times New Roman" w:hAnsi="Times New Roman" w:cs="Times New Roman"/>
      <w:sz w:val="26"/>
      <w:szCs w:val="26"/>
    </w:rPr>
  </w:style>
  <w:style w:type="paragraph" w:customStyle="1" w:styleId="30">
    <w:name w:val="Заголовок №3"/>
    <w:basedOn w:val="a"/>
    <w:link w:val="3"/>
    <w:uiPriority w:val="99"/>
    <w:rsid w:val="003F7CC6"/>
    <w:pPr>
      <w:shd w:val="clear" w:color="auto" w:fill="FFFFFF"/>
      <w:spacing w:after="0" w:line="322" w:lineRule="exact"/>
      <w:outlineLvl w:val="2"/>
    </w:pPr>
    <w:rPr>
      <w:rFonts w:ascii="Times New Roman" w:hAnsi="Times New Roman" w:cs="Times New Roman"/>
      <w:b/>
      <w:bCs/>
      <w:sz w:val="26"/>
      <w:szCs w:val="26"/>
    </w:rPr>
  </w:style>
  <w:style w:type="paragraph" w:styleId="a4">
    <w:name w:val="Body Text"/>
    <w:basedOn w:val="a"/>
    <w:link w:val="a5"/>
    <w:uiPriority w:val="99"/>
    <w:rsid w:val="003F7CC6"/>
    <w:pPr>
      <w:spacing w:after="120" w:line="240" w:lineRule="auto"/>
    </w:pPr>
    <w:rPr>
      <w:rFonts w:ascii="Microsoft Sans Serif" w:eastAsia="Times New Roman" w:hAnsi="Microsoft Sans Serif" w:cs="Microsoft Sans Serif"/>
      <w:color w:val="000000"/>
      <w:sz w:val="24"/>
      <w:szCs w:val="24"/>
    </w:rPr>
  </w:style>
  <w:style w:type="character" w:customStyle="1" w:styleId="a5">
    <w:name w:val="Основной текст Знак"/>
    <w:basedOn w:val="a0"/>
    <w:link w:val="a4"/>
    <w:uiPriority w:val="99"/>
    <w:rsid w:val="003F7CC6"/>
    <w:rPr>
      <w:rFonts w:ascii="Microsoft Sans Serif" w:eastAsia="Times New Roman" w:hAnsi="Microsoft Sans Serif" w:cs="Microsoft Sans Serif"/>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1593</Words>
  <Characters>909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2017-12-26T09:17:00Z</dcterms:created>
  <dcterms:modified xsi:type="dcterms:W3CDTF">2018-05-10T10:11:00Z</dcterms:modified>
</cp:coreProperties>
</file>