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C2A6E" w14:textId="75784170" w:rsidR="003F750B" w:rsidRDefault="003F750B" w:rsidP="000F4723">
      <w:pPr>
        <w:pStyle w:val="a3"/>
        <w:spacing w:before="116" w:line="276" w:lineRule="auto"/>
        <w:ind w:left="2127" w:right="2201" w:firstLine="77"/>
        <w:jc w:val="center"/>
      </w:pPr>
      <w:r>
        <w:t xml:space="preserve">Інформація про вибіркову навчальну </w:t>
      </w:r>
      <w:r w:rsidR="009F603A">
        <w:t xml:space="preserve">компоненту </w:t>
      </w:r>
      <w:r>
        <w:rPr>
          <w:spacing w:val="-67"/>
        </w:rPr>
        <w:t xml:space="preserve"> </w:t>
      </w:r>
      <w:r>
        <w:t>циклу професійної</w:t>
      </w:r>
      <w:r>
        <w:rPr>
          <w:spacing w:val="-2"/>
        </w:rPr>
        <w:t xml:space="preserve"> </w:t>
      </w:r>
      <w:r>
        <w:t>підготовки</w:t>
      </w:r>
    </w:p>
    <w:p w14:paraId="13B4B866" w14:textId="77777777" w:rsidR="003F750B" w:rsidRDefault="003F750B" w:rsidP="000F4723">
      <w:pPr>
        <w:pStyle w:val="a3"/>
        <w:spacing w:line="275" w:lineRule="exact"/>
        <w:ind w:left="1097" w:right="1297" w:hanging="671"/>
        <w:jc w:val="center"/>
      </w:pPr>
      <w:r>
        <w:t>для</w:t>
      </w:r>
      <w:r>
        <w:rPr>
          <w:spacing w:val="-4"/>
        </w:rPr>
        <w:t xml:space="preserve"> </w:t>
      </w:r>
      <w:r>
        <w:t>«Кафедрального</w:t>
      </w:r>
      <w:r>
        <w:rPr>
          <w:spacing w:val="-3"/>
        </w:rPr>
        <w:t xml:space="preserve"> </w:t>
      </w:r>
      <w:r>
        <w:t>каталогу</w:t>
      </w:r>
      <w:r>
        <w:rPr>
          <w:spacing w:val="-3"/>
        </w:rPr>
        <w:t xml:space="preserve"> </w:t>
      </w:r>
      <w:r>
        <w:t>вибіркових</w:t>
      </w:r>
      <w:r>
        <w:rPr>
          <w:spacing w:val="-3"/>
        </w:rPr>
        <w:t xml:space="preserve"> </w:t>
      </w:r>
      <w:r>
        <w:t>навчальних</w:t>
      </w:r>
      <w:r>
        <w:rPr>
          <w:spacing w:val="-3"/>
        </w:rPr>
        <w:t xml:space="preserve"> </w:t>
      </w:r>
      <w:r>
        <w:t>дисциплін»</w:t>
      </w:r>
    </w:p>
    <w:p w14:paraId="1712CD0A" w14:textId="20FFCE88" w:rsidR="003F750B" w:rsidRDefault="003F750B" w:rsidP="000F4723">
      <w:pPr>
        <w:pStyle w:val="a3"/>
        <w:ind w:left="1097" w:right="1296"/>
        <w:jc w:val="center"/>
      </w:pPr>
      <w:r>
        <w:t>на</w:t>
      </w:r>
      <w:r>
        <w:rPr>
          <w:spacing w:val="-1"/>
        </w:rPr>
        <w:t xml:space="preserve"> </w:t>
      </w:r>
      <w:r>
        <w:t>20</w:t>
      </w:r>
      <w:r w:rsidR="007B3ECF">
        <w:t>2</w:t>
      </w:r>
      <w:r w:rsidR="00E111BA">
        <w:t>6</w:t>
      </w:r>
      <w:r>
        <w:t>/202</w:t>
      </w:r>
      <w:r w:rsidR="00E111BA">
        <w:t>7</w:t>
      </w:r>
      <w:r>
        <w:rPr>
          <w:spacing w:val="-4"/>
        </w:rPr>
        <w:t xml:space="preserve"> </w:t>
      </w:r>
      <w:r>
        <w:t>навчальний</w:t>
      </w:r>
      <w:r>
        <w:rPr>
          <w:spacing w:val="-3"/>
        </w:rPr>
        <w:t xml:space="preserve"> </w:t>
      </w:r>
      <w:r>
        <w:t>рік</w:t>
      </w:r>
    </w:p>
    <w:p w14:paraId="4750C403" w14:textId="77777777" w:rsidR="003F750B" w:rsidRDefault="003F750B" w:rsidP="003F750B">
      <w:pPr>
        <w:pStyle w:val="a3"/>
        <w:spacing w:before="3"/>
      </w:pPr>
    </w:p>
    <w:tbl>
      <w:tblPr>
        <w:tblStyle w:val="TableNormal"/>
        <w:tblW w:w="9752" w:type="dxa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7"/>
        <w:gridCol w:w="5635"/>
      </w:tblGrid>
      <w:tr w:rsidR="003F750B" w14:paraId="086268D6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C7698" w14:textId="16B1376A" w:rsidR="003F750B" w:rsidRPr="007C36FC" w:rsidRDefault="003F750B" w:rsidP="007C36FC">
            <w:pPr>
              <w:pStyle w:val="TableParagraph"/>
              <w:spacing w:line="304" w:lineRule="exact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</w:rPr>
              <w:t>Назва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4DFB" w14:textId="77EF8166" w:rsidR="003F750B" w:rsidRPr="001057CD" w:rsidRDefault="004D76EC" w:rsidP="00816B8A">
            <w:pPr>
              <w:pStyle w:val="TableParagraph"/>
              <w:ind w:left="142" w:hanging="142"/>
              <w:rPr>
                <w:b/>
                <w:bCs/>
                <w:sz w:val="28"/>
                <w:szCs w:val="28"/>
                <w:lang w:val="ru-RU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</w:t>
            </w:r>
            <w:r w:rsidR="002E7E62" w:rsidRPr="002E7E62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E5252E" w:rsidRPr="00E5252E">
              <w:rPr>
                <w:b/>
                <w:bCs/>
                <w:sz w:val="28"/>
                <w:szCs w:val="28"/>
                <w:lang w:val="uk-UA"/>
              </w:rPr>
              <w:t xml:space="preserve"> ESG стратегії  в бізнесі</w:t>
            </w:r>
          </w:p>
        </w:tc>
      </w:tr>
      <w:tr w:rsidR="003F750B" w14:paraId="3007518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C7FBB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Рівень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вищої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освіти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064B" w14:textId="58FAA6EA" w:rsidR="003F750B" w:rsidRPr="001057CD" w:rsidRDefault="001330E6" w:rsidP="001057CD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ОС </w:t>
            </w:r>
            <w:r w:rsidR="001057CD">
              <w:rPr>
                <w:sz w:val="28"/>
                <w:szCs w:val="28"/>
                <w:lang w:val="ru-RU"/>
              </w:rPr>
              <w:t>маг</w:t>
            </w:r>
            <w:proofErr w:type="spellStart"/>
            <w:r w:rsidR="001057CD">
              <w:rPr>
                <w:sz w:val="28"/>
                <w:szCs w:val="28"/>
                <w:lang w:val="uk-UA"/>
              </w:rPr>
              <w:t>істр</w:t>
            </w:r>
            <w:proofErr w:type="spellEnd"/>
          </w:p>
        </w:tc>
      </w:tr>
      <w:tr w:rsidR="003F750B" w14:paraId="7F2F3094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F5946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Курс</w:t>
            </w:r>
            <w:proofErr w:type="spell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рік</w:t>
            </w:r>
            <w:proofErr w:type="spellEnd"/>
            <w:r>
              <w:rPr>
                <w:sz w:val="28"/>
              </w:rPr>
              <w:t>)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навчання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092DE" w14:textId="688DFE20" w:rsidR="003F750B" w:rsidRPr="004D5F6C" w:rsidRDefault="001330E6" w:rsidP="00C858CE">
            <w:pPr>
              <w:pStyle w:val="TableParagraph"/>
              <w:ind w:left="0"/>
              <w:rPr>
                <w:sz w:val="28"/>
                <w:szCs w:val="28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</w:t>
            </w:r>
          </w:p>
        </w:tc>
      </w:tr>
      <w:tr w:rsidR="003F750B" w14:paraId="48F943AE" w14:textId="77777777" w:rsidTr="00CE3771">
        <w:trPr>
          <w:trHeight w:val="3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7871D" w14:textId="77777777" w:rsidR="003F750B" w:rsidRDefault="003F750B">
            <w:pPr>
              <w:pStyle w:val="TableParagraph"/>
              <w:spacing w:line="304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Семестр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74C5C" w14:textId="017A52B2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ІІ</w:t>
            </w:r>
          </w:p>
        </w:tc>
      </w:tr>
      <w:tr w:rsidR="003F750B" w14:paraId="07474BE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65762" w14:textId="21B0DEF6" w:rsidR="003F750B" w:rsidRDefault="003F750B" w:rsidP="007C36FC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Обсяг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кредитах</w:t>
            </w:r>
            <w:proofErr w:type="spellEnd"/>
            <w:r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31708" w14:textId="6F1640C7" w:rsidR="003F750B" w:rsidRPr="00EE5A0B" w:rsidRDefault="00C858CE">
            <w:pPr>
              <w:pStyle w:val="TableParagraph"/>
              <w:spacing w:line="301" w:lineRule="exact"/>
              <w:ind w:left="76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="003F750B" w:rsidRPr="00EE5A0B">
              <w:rPr>
                <w:sz w:val="28"/>
                <w:szCs w:val="28"/>
              </w:rPr>
              <w:t>кредити</w:t>
            </w:r>
            <w:proofErr w:type="spellEnd"/>
            <w:r w:rsidR="003F750B" w:rsidRPr="00EE5A0B">
              <w:rPr>
                <w:spacing w:val="-1"/>
                <w:sz w:val="28"/>
                <w:szCs w:val="28"/>
              </w:rPr>
              <w:t xml:space="preserve"> </w:t>
            </w:r>
            <w:r w:rsidR="003F750B" w:rsidRPr="00EE5A0B">
              <w:rPr>
                <w:sz w:val="28"/>
                <w:szCs w:val="28"/>
              </w:rPr>
              <w:t>ЄКТС</w:t>
            </w:r>
          </w:p>
        </w:tc>
      </w:tr>
      <w:tr w:rsidR="003F750B" w14:paraId="6F27EEE6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68C2B" w14:textId="77777777" w:rsidR="003F750B" w:rsidRDefault="003F750B">
            <w:pPr>
              <w:pStyle w:val="TableParagraph"/>
              <w:spacing w:line="302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Мова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викладання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2584" w14:textId="7DD63228" w:rsidR="003F750B" w:rsidRPr="00EE5A0B" w:rsidRDefault="001330E6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 w:rsidRPr="00EE5A0B">
              <w:rPr>
                <w:sz w:val="28"/>
                <w:szCs w:val="28"/>
                <w:lang w:val="uk-UA"/>
              </w:rPr>
              <w:t xml:space="preserve"> українська</w:t>
            </w:r>
          </w:p>
        </w:tc>
      </w:tr>
      <w:tr w:rsidR="003F750B" w14:paraId="262E0050" w14:textId="77777777" w:rsidTr="00CE3771">
        <w:trPr>
          <w:trHeight w:val="626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4E55D" w14:textId="286ABBBC" w:rsidR="003F750B" w:rsidRPr="007C36FC" w:rsidRDefault="003F750B" w:rsidP="007C36FC">
            <w:pPr>
              <w:pStyle w:val="TableParagraph"/>
              <w:spacing w:line="312" w:lineRule="exact"/>
              <w:ind w:right="819"/>
              <w:rPr>
                <w:sz w:val="28"/>
                <w:lang w:val="uk-UA"/>
              </w:rPr>
            </w:pPr>
            <w:proofErr w:type="spellStart"/>
            <w:r w:rsidRPr="00E111BA">
              <w:rPr>
                <w:sz w:val="28"/>
                <w:lang w:val="ru-MD"/>
              </w:rPr>
              <w:t>Передумови</w:t>
            </w:r>
            <w:proofErr w:type="spellEnd"/>
            <w:r w:rsidRPr="00E111BA">
              <w:rPr>
                <w:sz w:val="28"/>
                <w:lang w:val="ru-MD"/>
              </w:rPr>
              <w:t xml:space="preserve"> для </w:t>
            </w:r>
            <w:proofErr w:type="spellStart"/>
            <w:r w:rsidRPr="00E111BA">
              <w:rPr>
                <w:sz w:val="28"/>
                <w:lang w:val="ru-MD"/>
              </w:rPr>
              <w:t>вивчення</w:t>
            </w:r>
            <w:proofErr w:type="spellEnd"/>
            <w:r w:rsidRPr="00E111BA">
              <w:rPr>
                <w:spacing w:val="-67"/>
                <w:sz w:val="28"/>
                <w:lang w:val="ru-MD"/>
              </w:rPr>
              <w:t xml:space="preserve"> </w:t>
            </w:r>
            <w:r w:rsidR="007C36FC">
              <w:rPr>
                <w:sz w:val="28"/>
                <w:lang w:val="uk-UA"/>
              </w:rPr>
              <w:t>освітньої компоненти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00BB5" w14:textId="3CFD3F57" w:rsidR="003F750B" w:rsidRPr="00EE5A0B" w:rsidRDefault="001330E6" w:rsidP="00C858CE">
            <w:pPr>
              <w:tabs>
                <w:tab w:val="left" w:pos="1436"/>
              </w:tabs>
              <w:ind w:left="142" w:right="241" w:hanging="425"/>
              <w:jc w:val="both"/>
              <w:rPr>
                <w:sz w:val="28"/>
                <w:szCs w:val="28"/>
                <w:lang w:val="uk-UA"/>
              </w:rPr>
            </w:pPr>
            <w:r w:rsidRPr="00E111BA">
              <w:rPr>
                <w:sz w:val="28"/>
                <w:szCs w:val="28"/>
                <w:lang w:val="ru-MD"/>
              </w:rPr>
              <w:t xml:space="preserve">     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Ефективність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засвоєння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даного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курсу</w:t>
            </w:r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підвищує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попереднє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вивчення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таких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навчальних</w:t>
            </w:r>
            <w:proofErr w:type="spellEnd"/>
            <w:r w:rsidRPr="00E111BA">
              <w:rPr>
                <w:spacing w:val="1"/>
                <w:sz w:val="28"/>
                <w:szCs w:val="28"/>
                <w:lang w:val="ru-MD"/>
              </w:rPr>
              <w:t xml:space="preserve">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дисциплін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 xml:space="preserve"> </w:t>
            </w:r>
            <w:r w:rsidRPr="004D5F6C">
              <w:rPr>
                <w:sz w:val="28"/>
                <w:szCs w:val="28"/>
                <w:lang w:val="ru-RU"/>
              </w:rPr>
              <w:t>як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  «</w:t>
            </w:r>
            <w:r w:rsidR="00C858CE" w:rsidRPr="00C858CE">
              <w:rPr>
                <w:spacing w:val="1"/>
                <w:sz w:val="28"/>
                <w:szCs w:val="28"/>
                <w:lang w:val="uk-UA"/>
              </w:rPr>
              <w:t xml:space="preserve">Управління бізнес процесами в </w:t>
            </w:r>
            <w:proofErr w:type="spellStart"/>
            <w:r w:rsidR="00C858CE" w:rsidRPr="00C858CE">
              <w:rPr>
                <w:spacing w:val="1"/>
                <w:sz w:val="28"/>
                <w:szCs w:val="28"/>
                <w:lang w:val="uk-UA"/>
              </w:rPr>
              <w:t>готельно</w:t>
            </w:r>
            <w:proofErr w:type="spellEnd"/>
            <w:r w:rsidR="00C858CE" w:rsidRPr="00C858CE">
              <w:rPr>
                <w:spacing w:val="1"/>
                <w:sz w:val="28"/>
                <w:szCs w:val="28"/>
                <w:lang w:val="uk-UA"/>
              </w:rPr>
              <w:t>-ресторанній справі</w:t>
            </w:r>
            <w:r w:rsidRPr="00E111BA">
              <w:rPr>
                <w:spacing w:val="1"/>
                <w:sz w:val="28"/>
                <w:szCs w:val="28"/>
                <w:lang w:val="ru-MD"/>
              </w:rPr>
              <w:t xml:space="preserve">», </w:t>
            </w:r>
            <w:r w:rsidRPr="00E111BA">
              <w:rPr>
                <w:sz w:val="28"/>
                <w:szCs w:val="28"/>
                <w:lang w:val="ru-MD"/>
              </w:rPr>
              <w:t>«</w:t>
            </w:r>
            <w:r w:rsidR="00C858CE" w:rsidRPr="00C858CE">
              <w:rPr>
                <w:sz w:val="28"/>
                <w:szCs w:val="28"/>
                <w:lang w:val="uk-UA"/>
              </w:rPr>
              <w:t>Моніторинг світового ринку готельних  і ресторанних послуг</w:t>
            </w:r>
            <w:r w:rsidR="00C858CE" w:rsidRPr="00E111BA">
              <w:rPr>
                <w:sz w:val="28"/>
                <w:szCs w:val="28"/>
                <w:lang w:val="ru-MD"/>
              </w:rPr>
              <w:t xml:space="preserve">» </w:t>
            </w:r>
            <w:proofErr w:type="spellStart"/>
            <w:r w:rsidRPr="004D5F6C">
              <w:rPr>
                <w:sz w:val="28"/>
                <w:szCs w:val="28"/>
                <w:lang w:val="ru-RU"/>
              </w:rPr>
              <w:t>тощо</w:t>
            </w:r>
            <w:proofErr w:type="spellEnd"/>
            <w:r w:rsidRPr="00E111BA">
              <w:rPr>
                <w:sz w:val="28"/>
                <w:szCs w:val="28"/>
                <w:lang w:val="ru-MD"/>
              </w:rPr>
              <w:t>.</w:t>
            </w:r>
          </w:p>
        </w:tc>
      </w:tr>
      <w:tr w:rsidR="003F750B" w14:paraId="58461B74" w14:textId="77777777" w:rsidTr="00CE3771">
        <w:trPr>
          <w:trHeight w:val="62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EC392" w14:textId="27A790C3" w:rsidR="003F750B" w:rsidRPr="003F750B" w:rsidRDefault="003F750B" w:rsidP="007C36FC">
            <w:pPr>
              <w:pStyle w:val="TableParagraph"/>
              <w:spacing w:line="310" w:lineRule="exact"/>
              <w:ind w:right="1041"/>
              <w:rPr>
                <w:sz w:val="28"/>
                <w:lang w:val="ru-RU"/>
              </w:rPr>
            </w:pPr>
            <w:r w:rsidRPr="003F750B">
              <w:rPr>
                <w:sz w:val="28"/>
                <w:lang w:val="ru-RU"/>
              </w:rPr>
              <w:t>Кафедра, яка забезпечує</w:t>
            </w:r>
            <w:r w:rsidRPr="003F750B">
              <w:rPr>
                <w:spacing w:val="-67"/>
                <w:sz w:val="28"/>
                <w:lang w:val="ru-RU"/>
              </w:rPr>
              <w:t xml:space="preserve"> </w:t>
            </w:r>
            <w:r w:rsidRPr="003F750B">
              <w:rPr>
                <w:sz w:val="28"/>
                <w:lang w:val="ru-RU"/>
              </w:rPr>
              <w:t>викладання</w:t>
            </w:r>
            <w:r w:rsidRPr="003F750B">
              <w:rPr>
                <w:spacing w:val="-8"/>
                <w:sz w:val="28"/>
                <w:lang w:val="ru-RU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8EF6" w14:textId="01F71A44" w:rsidR="003F750B" w:rsidRPr="003F750B" w:rsidRDefault="00B54FA1" w:rsidP="004D5F6C">
            <w:pPr>
              <w:pStyle w:val="TableParagraph"/>
              <w:ind w:left="0"/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  Кафедра </w:t>
            </w:r>
            <w:proofErr w:type="spellStart"/>
            <w:r w:rsidR="004D5F6C">
              <w:rPr>
                <w:sz w:val="28"/>
                <w:lang w:val="ru-RU"/>
              </w:rPr>
              <w:t>туристичної</w:t>
            </w:r>
            <w:proofErr w:type="spellEnd"/>
            <w:r w:rsidR="004D5F6C">
              <w:rPr>
                <w:sz w:val="28"/>
                <w:lang w:val="ru-RU"/>
              </w:rPr>
              <w:t xml:space="preserve"> </w:t>
            </w:r>
            <w:proofErr w:type="spellStart"/>
            <w:r w:rsidR="004D5F6C">
              <w:rPr>
                <w:sz w:val="28"/>
                <w:lang w:val="ru-RU"/>
              </w:rPr>
              <w:t>інфраструктури</w:t>
            </w:r>
            <w:proofErr w:type="spellEnd"/>
            <w:r w:rsidR="004D5F6C">
              <w:rPr>
                <w:sz w:val="28"/>
                <w:lang w:val="ru-RU"/>
              </w:rPr>
              <w:t xml:space="preserve"> та </w:t>
            </w:r>
            <w:proofErr w:type="spellStart"/>
            <w:r w:rsidR="004D5F6C">
              <w:rPr>
                <w:sz w:val="28"/>
                <w:lang w:val="ru-RU"/>
              </w:rPr>
              <w:t>готельно</w:t>
            </w:r>
            <w:proofErr w:type="spellEnd"/>
            <w:r w:rsidR="004D5F6C">
              <w:rPr>
                <w:sz w:val="28"/>
                <w:lang w:val="ru-RU"/>
              </w:rPr>
              <w:t xml:space="preserve">-ресторанного </w:t>
            </w:r>
            <w:proofErr w:type="spellStart"/>
            <w:r w:rsidR="004D5F6C">
              <w:rPr>
                <w:sz w:val="28"/>
                <w:lang w:val="ru-RU"/>
              </w:rPr>
              <w:t>господарства</w:t>
            </w:r>
            <w:proofErr w:type="spellEnd"/>
          </w:p>
        </w:tc>
      </w:tr>
      <w:tr w:rsidR="003F750B" w14:paraId="0C9D1F00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9811CD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Інформаційне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забезпечення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5093" w14:textId="439AC6E7" w:rsidR="00B54FA1" w:rsidRPr="00B54FA1" w:rsidRDefault="00B54FA1" w:rsidP="00B54FA1">
            <w:pPr>
              <w:pStyle w:val="a3"/>
              <w:rPr>
                <w:lang w:val="ru-RU"/>
              </w:rPr>
            </w:pPr>
            <w:r>
              <w:rPr>
                <w:sz w:val="24"/>
                <w:lang w:val="uk-UA"/>
              </w:rPr>
              <w:t xml:space="preserve"> </w:t>
            </w:r>
            <w:r>
              <w:rPr>
                <w:lang w:val="uk-UA"/>
              </w:rPr>
              <w:t>Т</w:t>
            </w:r>
            <w:proofErr w:type="spellStart"/>
            <w:r w:rsidRPr="00B54FA1">
              <w:rPr>
                <w:lang w:val="ru-RU"/>
              </w:rPr>
              <w:t>ехнічні</w:t>
            </w:r>
            <w:proofErr w:type="spellEnd"/>
            <w:r w:rsidRPr="00B54FA1">
              <w:rPr>
                <w:spacing w:val="-9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засоби</w:t>
            </w:r>
            <w:proofErr w:type="spellEnd"/>
            <w:r w:rsidRPr="00B54FA1">
              <w:rPr>
                <w:spacing w:val="-4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b/>
                <w:lang w:val="ru-RU"/>
              </w:rPr>
              <w:t>:</w:t>
            </w:r>
            <w:r w:rsidRPr="00B54FA1">
              <w:rPr>
                <w:b/>
                <w:spacing w:val="-2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мультимедійне</w:t>
            </w:r>
            <w:proofErr w:type="spellEnd"/>
            <w:r w:rsidRPr="00B54FA1">
              <w:rPr>
                <w:spacing w:val="-6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обладнання</w:t>
            </w:r>
            <w:proofErr w:type="spellEnd"/>
            <w:r w:rsidRPr="00B54FA1">
              <w:rPr>
                <w:lang w:val="ru-RU"/>
              </w:rPr>
              <w:t>,</w:t>
            </w:r>
            <w:r w:rsidRPr="00B54FA1">
              <w:rPr>
                <w:spacing w:val="-2"/>
                <w:lang w:val="ru-RU"/>
              </w:rPr>
              <w:t xml:space="preserve"> </w:t>
            </w:r>
            <w:r w:rsidRPr="00B54FA1">
              <w:rPr>
                <w:lang w:val="ru-RU"/>
              </w:rPr>
              <w:t>ноутбук</w:t>
            </w:r>
            <w:r>
              <w:rPr>
                <w:lang w:val="ru-RU"/>
              </w:rPr>
              <w:t>.</w:t>
            </w:r>
          </w:p>
          <w:p w14:paraId="0A88F8D0" w14:textId="749B61F5" w:rsidR="00B54FA1" w:rsidRPr="00B54FA1" w:rsidRDefault="00B54FA1" w:rsidP="00B54FA1">
            <w:pPr>
              <w:pStyle w:val="a3"/>
              <w:spacing w:before="3" w:line="275" w:lineRule="exact"/>
              <w:rPr>
                <w:lang w:val="ru-RU"/>
              </w:rPr>
            </w:pPr>
            <w:r>
              <w:rPr>
                <w:lang w:val="uk-UA"/>
              </w:rPr>
              <w:t xml:space="preserve">  П</w:t>
            </w:r>
            <w:proofErr w:type="spellStart"/>
            <w:r w:rsidRPr="00B54FA1">
              <w:rPr>
                <w:lang w:val="ru-RU"/>
              </w:rPr>
              <w:t>рограмне</w:t>
            </w:r>
            <w:proofErr w:type="spellEnd"/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забезпечення</w:t>
            </w:r>
            <w:proofErr w:type="spellEnd"/>
            <w:r w:rsidRPr="00B54FA1">
              <w:rPr>
                <w:lang w:val="ru-RU"/>
              </w:rPr>
              <w:t>:</w:t>
            </w:r>
            <w:r>
              <w:rPr>
                <w:lang w:val="ru-RU"/>
              </w:rPr>
              <w:t xml:space="preserve"> </w:t>
            </w:r>
            <w:r w:rsidRPr="00B54FA1">
              <w:rPr>
                <w:lang w:val="ru-RU"/>
              </w:rPr>
              <w:t>система</w:t>
            </w:r>
            <w:r w:rsidRPr="00B54FA1">
              <w:rPr>
                <w:spacing w:val="-5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електронного</w:t>
            </w:r>
            <w:proofErr w:type="spellEnd"/>
            <w:r w:rsidRPr="00B54FA1">
              <w:rPr>
                <w:spacing w:val="-3"/>
                <w:lang w:val="ru-RU"/>
              </w:rPr>
              <w:t xml:space="preserve"> </w:t>
            </w:r>
            <w:proofErr w:type="spellStart"/>
            <w:r w:rsidRPr="00B54FA1">
              <w:rPr>
                <w:lang w:val="ru-RU"/>
              </w:rPr>
              <w:t>навчання</w:t>
            </w:r>
            <w:proofErr w:type="spellEnd"/>
            <w:r w:rsidRPr="00B54FA1">
              <w:rPr>
                <w:spacing w:val="-2"/>
                <w:lang w:val="ru-RU"/>
              </w:rPr>
              <w:t xml:space="preserve"> </w:t>
            </w:r>
            <w:r w:rsidRPr="008736B0">
              <w:t>Moodle</w:t>
            </w:r>
            <w:r w:rsidR="00ED7CCA">
              <w:rPr>
                <w:lang w:val="ru-RU"/>
              </w:rPr>
              <w:t>.</w:t>
            </w:r>
          </w:p>
          <w:p w14:paraId="28EFA517" w14:textId="35C33459" w:rsidR="003F750B" w:rsidRPr="00B54FA1" w:rsidRDefault="00B54FA1" w:rsidP="00ED7CCA">
            <w:pPr>
              <w:pStyle w:val="a3"/>
              <w:spacing w:line="275" w:lineRule="exact"/>
              <w:rPr>
                <w:sz w:val="24"/>
                <w:lang w:val="uk-UA"/>
              </w:rPr>
            </w:pPr>
            <w:r>
              <w:rPr>
                <w:lang w:val="ru-RU"/>
              </w:rPr>
              <w:t xml:space="preserve">  </w:t>
            </w:r>
          </w:p>
        </w:tc>
      </w:tr>
      <w:tr w:rsidR="003F750B" w14:paraId="04223BDE" w14:textId="77777777" w:rsidTr="00CE3771">
        <w:trPr>
          <w:trHeight w:val="321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BB0CF5" w14:textId="77777777" w:rsidR="003F750B" w:rsidRDefault="003F750B">
            <w:pPr>
              <w:pStyle w:val="TableParagraph"/>
              <w:spacing w:line="301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Форма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проведення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занять</w:t>
            </w:r>
            <w:proofErr w:type="spellEnd"/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CD131" w14:textId="665E2B24" w:rsidR="003F750B" w:rsidRPr="004B402C" w:rsidRDefault="004B402C">
            <w:pPr>
              <w:pStyle w:val="TableParagraph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Pr="004B402C">
              <w:rPr>
                <w:sz w:val="28"/>
                <w:szCs w:val="28"/>
                <w:lang w:val="uk-UA"/>
              </w:rPr>
              <w:t>Гібридна (змішана)</w:t>
            </w:r>
            <w:r>
              <w:rPr>
                <w:sz w:val="28"/>
                <w:szCs w:val="28"/>
                <w:lang w:val="uk-UA"/>
              </w:rPr>
              <w:t>: лекції та семінарські заняття – очно/дистанційно</w:t>
            </w:r>
          </w:p>
        </w:tc>
      </w:tr>
      <w:tr w:rsidR="005C29D1" w:rsidRPr="00032EF6" w14:paraId="4E8F96BF" w14:textId="77777777" w:rsidTr="00197FC8">
        <w:trPr>
          <w:trHeight w:val="558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F6FD1" w14:textId="77777777" w:rsidR="005C29D1" w:rsidRPr="00032EF6" w:rsidRDefault="005C29D1" w:rsidP="005C29D1">
            <w:pPr>
              <w:pStyle w:val="TableParagraph"/>
              <w:ind w:right="383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Ключові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результати</w:t>
            </w:r>
            <w:proofErr w:type="spellEnd"/>
            <w:r w:rsidRPr="00032EF6">
              <w:rPr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навчання</w:t>
            </w:r>
            <w:proofErr w:type="spellEnd"/>
            <w:r w:rsidRPr="00032EF6">
              <w:rPr>
                <w:spacing w:val="-68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(</w:t>
            </w:r>
            <w:proofErr w:type="spellStart"/>
            <w:r w:rsidRPr="00032EF6">
              <w:rPr>
                <w:sz w:val="28"/>
                <w:lang w:val="ru-RU"/>
              </w:rPr>
              <w:t>знання</w:t>
            </w:r>
            <w:proofErr w:type="spellEnd"/>
            <w:r w:rsidRPr="00032EF6">
              <w:rPr>
                <w:sz w:val="28"/>
                <w:lang w:val="ru-RU"/>
              </w:rPr>
              <w:t>,</w:t>
            </w:r>
            <w:r w:rsidRPr="00032EF6">
              <w:rPr>
                <w:spacing w:val="-3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уміння та</w:t>
            </w:r>
            <w:r w:rsidRPr="00032EF6">
              <w:rPr>
                <w:spacing w:val="-1"/>
                <w:sz w:val="28"/>
                <w:lang w:val="ru-RU"/>
              </w:rPr>
              <w:t xml:space="preserve"> </w:t>
            </w:r>
            <w:r w:rsidRPr="00032EF6">
              <w:rPr>
                <w:sz w:val="28"/>
                <w:lang w:val="ru-RU"/>
              </w:rPr>
              <w:t>інші</w:t>
            </w:r>
          </w:p>
          <w:p w14:paraId="5851794B" w14:textId="77777777" w:rsidR="005C29D1" w:rsidRPr="00032EF6" w:rsidRDefault="005C29D1" w:rsidP="005C29D1">
            <w:pPr>
              <w:pStyle w:val="TableParagraph"/>
              <w:spacing w:line="296" w:lineRule="exact"/>
              <w:rPr>
                <w:sz w:val="28"/>
              </w:rPr>
            </w:pPr>
            <w:proofErr w:type="spellStart"/>
            <w:r w:rsidRPr="00032EF6">
              <w:rPr>
                <w:sz w:val="28"/>
              </w:rPr>
              <w:t>компетентності</w:t>
            </w:r>
            <w:proofErr w:type="spellEnd"/>
            <w:r w:rsidRPr="00032EF6">
              <w:rPr>
                <w:sz w:val="28"/>
              </w:rPr>
              <w:t>):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437D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ЗК2. Здатність до пошуку, опрацювання, аналізу й узагальненн</w:t>
            </w:r>
            <w:r>
              <w:rPr>
                <w:sz w:val="28"/>
                <w:szCs w:val="28"/>
                <w:lang w:val="uk-UA"/>
              </w:rPr>
              <w:t xml:space="preserve">я </w:t>
            </w:r>
            <w:r w:rsidRPr="00C46B51">
              <w:rPr>
                <w:sz w:val="28"/>
                <w:szCs w:val="28"/>
                <w:lang w:val="uk-UA"/>
              </w:rPr>
              <w:t>професійної та науково-технічної інформації</w:t>
            </w:r>
          </w:p>
          <w:p w14:paraId="388EC96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ЗК3. Здатність до аналізу, оцінки та генерування нових ідей</w:t>
            </w:r>
          </w:p>
          <w:p w14:paraId="58D2861B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ЗК4. Здатність застосовувати с</w:t>
            </w:r>
            <w:r>
              <w:rPr>
                <w:sz w:val="28"/>
                <w:szCs w:val="28"/>
                <w:lang w:val="uk-UA"/>
              </w:rPr>
              <w:t xml:space="preserve">истемний аналіз при розробці та </w:t>
            </w:r>
            <w:r w:rsidRPr="00C46B51">
              <w:rPr>
                <w:sz w:val="28"/>
                <w:szCs w:val="28"/>
                <w:lang w:val="uk-UA"/>
              </w:rPr>
              <w:t>вирішенні професійних завдань</w:t>
            </w:r>
          </w:p>
          <w:p w14:paraId="1F6FB165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ФК10.Здатність розробляти а</w:t>
            </w:r>
            <w:r>
              <w:rPr>
                <w:sz w:val="28"/>
                <w:szCs w:val="28"/>
                <w:lang w:val="uk-UA"/>
              </w:rPr>
              <w:t xml:space="preserve">нтикризові програми корпорацій, </w:t>
            </w:r>
            <w:r w:rsidRPr="00C46B51">
              <w:rPr>
                <w:sz w:val="28"/>
                <w:szCs w:val="28"/>
                <w:lang w:val="uk-UA"/>
              </w:rPr>
              <w:t>готельних та ресторанних мереж, суб’єктів готельного та</w:t>
            </w:r>
          </w:p>
          <w:p w14:paraId="1AF545A3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4E7D3ECD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ФК11. Здатність застосовувати</w:t>
            </w:r>
            <w:r>
              <w:rPr>
                <w:sz w:val="28"/>
                <w:szCs w:val="28"/>
                <w:lang w:val="uk-UA"/>
              </w:rPr>
              <w:t xml:space="preserve"> різні методи та інструментарій </w:t>
            </w:r>
            <w:r w:rsidRPr="00C46B51">
              <w:rPr>
                <w:sz w:val="28"/>
                <w:szCs w:val="28"/>
                <w:lang w:val="uk-UA"/>
              </w:rPr>
              <w:t>для прийняття обґрунтованих управлінських рішень, вміння</w:t>
            </w:r>
          </w:p>
          <w:p w14:paraId="35DF2E57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ідентифікувати агентів стр</w:t>
            </w:r>
            <w:r>
              <w:rPr>
                <w:sz w:val="28"/>
                <w:szCs w:val="28"/>
                <w:lang w:val="uk-UA"/>
              </w:rPr>
              <w:t xml:space="preserve">атегічних змін в організації та </w:t>
            </w:r>
            <w:r w:rsidRPr="00C46B51">
              <w:rPr>
                <w:sz w:val="28"/>
                <w:szCs w:val="28"/>
                <w:lang w:val="uk-UA"/>
              </w:rPr>
              <w:t>визначати шляхи подол</w:t>
            </w:r>
            <w:r>
              <w:rPr>
                <w:sz w:val="28"/>
                <w:szCs w:val="28"/>
                <w:lang w:val="uk-UA"/>
              </w:rPr>
              <w:t xml:space="preserve">ання опору змінам з урахуванням </w:t>
            </w:r>
            <w:r w:rsidRPr="00C46B51">
              <w:rPr>
                <w:sz w:val="28"/>
                <w:szCs w:val="28"/>
                <w:lang w:val="uk-UA"/>
              </w:rPr>
              <w:t>розвитку галузі та впливу конкурентного середовища</w:t>
            </w:r>
          </w:p>
          <w:p w14:paraId="4E01A0B6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ФК14. Здатність розроб</w:t>
            </w:r>
            <w:r>
              <w:rPr>
                <w:sz w:val="28"/>
                <w:szCs w:val="28"/>
                <w:lang w:val="uk-UA"/>
              </w:rPr>
              <w:t xml:space="preserve">ляти та забезпечувати </w:t>
            </w:r>
            <w:r>
              <w:rPr>
                <w:sz w:val="28"/>
                <w:szCs w:val="28"/>
                <w:lang w:val="uk-UA"/>
              </w:rPr>
              <w:lastRenderedPageBreak/>
              <w:t xml:space="preserve">прийняття </w:t>
            </w:r>
            <w:r w:rsidRPr="00C46B51">
              <w:rPr>
                <w:sz w:val="28"/>
                <w:szCs w:val="28"/>
                <w:lang w:val="uk-UA"/>
              </w:rPr>
              <w:t>ефективних проектних рішень та</w:t>
            </w:r>
            <w:r>
              <w:rPr>
                <w:sz w:val="28"/>
                <w:szCs w:val="28"/>
                <w:lang w:val="uk-UA"/>
              </w:rPr>
              <w:t xml:space="preserve"> визначати стратегічні завдання </w:t>
            </w:r>
            <w:r w:rsidRPr="00C46B51">
              <w:rPr>
                <w:sz w:val="28"/>
                <w:szCs w:val="28"/>
                <w:lang w:val="uk-UA"/>
              </w:rPr>
              <w:t>у розвитку готельного і ресторанного біз</w:t>
            </w:r>
            <w:r>
              <w:rPr>
                <w:sz w:val="28"/>
                <w:szCs w:val="28"/>
                <w:lang w:val="uk-UA"/>
              </w:rPr>
              <w:t>несу</w:t>
            </w:r>
          </w:p>
          <w:p w14:paraId="2F7F4F8B" w14:textId="7777777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ПРН2. Здатність розробляти і приймати ефективні ріше</w:t>
            </w:r>
            <w:r>
              <w:rPr>
                <w:sz w:val="28"/>
                <w:szCs w:val="28"/>
                <w:lang w:val="uk-UA"/>
              </w:rPr>
              <w:t xml:space="preserve">ння з питань розвитку суб’єктів </w:t>
            </w:r>
            <w:r w:rsidRPr="00C46B51">
              <w:rPr>
                <w:sz w:val="28"/>
                <w:szCs w:val="28"/>
                <w:lang w:val="uk-UA"/>
              </w:rPr>
              <w:t>готельного та ресторанного бізнесу, враховуючи цілі</w:t>
            </w:r>
            <w:r>
              <w:rPr>
                <w:sz w:val="28"/>
                <w:szCs w:val="28"/>
                <w:lang w:val="uk-UA"/>
              </w:rPr>
              <w:t xml:space="preserve">, ресурси, обмеження та ризики, </w:t>
            </w:r>
            <w:r w:rsidRPr="00C46B51">
              <w:rPr>
                <w:sz w:val="28"/>
                <w:szCs w:val="28"/>
                <w:lang w:val="uk-UA"/>
              </w:rPr>
              <w:t>забезпечувати їх реалізацію, аналізувати і порівнювати альтернативи, оцінювати ризик</w:t>
            </w:r>
            <w:r>
              <w:rPr>
                <w:sz w:val="28"/>
                <w:szCs w:val="28"/>
                <w:lang w:val="uk-UA"/>
              </w:rPr>
              <w:t xml:space="preserve">и та </w:t>
            </w:r>
            <w:r w:rsidRPr="00C46B51">
              <w:rPr>
                <w:sz w:val="28"/>
                <w:szCs w:val="28"/>
                <w:lang w:val="uk-UA"/>
              </w:rPr>
              <w:t>ймовірні наслідки їх впливу</w:t>
            </w:r>
          </w:p>
          <w:p w14:paraId="421B50C7" w14:textId="093E66A7" w:rsidR="005C29D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 xml:space="preserve">ПРН9. Розробляти, впроваджувати та управляти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проєктами</w:t>
            </w:r>
            <w:proofErr w:type="spellEnd"/>
            <w:r w:rsidRPr="00C46B51">
              <w:rPr>
                <w:sz w:val="28"/>
                <w:szCs w:val="28"/>
                <w:lang w:val="uk-UA"/>
              </w:rPr>
              <w:t xml:space="preserve"> розвитку суб’єктів </w:t>
            </w:r>
            <w:proofErr w:type="spellStart"/>
            <w:r w:rsidRPr="00C46B51">
              <w:rPr>
                <w:sz w:val="28"/>
                <w:szCs w:val="28"/>
                <w:lang w:val="uk-UA"/>
              </w:rPr>
              <w:t>готельно</w:t>
            </w:r>
            <w:proofErr w:type="spellEnd"/>
            <w:r w:rsidR="00E111BA">
              <w:rPr>
                <w:sz w:val="28"/>
                <w:szCs w:val="28"/>
                <w:lang w:val="uk-UA"/>
              </w:rPr>
              <w:t>-</w:t>
            </w:r>
            <w:r w:rsidRPr="00C46B51">
              <w:rPr>
                <w:sz w:val="28"/>
                <w:szCs w:val="28"/>
                <w:lang w:val="uk-UA"/>
              </w:rPr>
              <w:t>ресторанного бізнесу</w:t>
            </w:r>
          </w:p>
          <w:p w14:paraId="2CF6AE7F" w14:textId="77777777" w:rsidR="005C29D1" w:rsidRPr="00C46B51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ПРН16. Приймати рішення у складних і непередбачуваних умовах, що потребує</w:t>
            </w:r>
          </w:p>
          <w:p w14:paraId="48A72051" w14:textId="0E910D90" w:rsidR="005C29D1" w:rsidRPr="00197FC8" w:rsidRDefault="005C29D1" w:rsidP="005C29D1">
            <w:pPr>
              <w:pStyle w:val="TableParagraph"/>
              <w:tabs>
                <w:tab w:val="left" w:pos="978"/>
                <w:tab w:val="left" w:pos="2633"/>
                <w:tab w:val="left" w:pos="3821"/>
                <w:tab w:val="left" w:pos="4139"/>
                <w:tab w:val="left" w:pos="5310"/>
                <w:tab w:val="left" w:pos="6735"/>
              </w:tabs>
              <w:ind w:left="142" w:right="38"/>
              <w:jc w:val="both"/>
              <w:rPr>
                <w:sz w:val="28"/>
                <w:szCs w:val="28"/>
                <w:lang w:val="uk-UA"/>
              </w:rPr>
            </w:pPr>
            <w:r w:rsidRPr="00C46B51">
              <w:rPr>
                <w:sz w:val="28"/>
                <w:szCs w:val="28"/>
                <w:lang w:val="uk-UA"/>
              </w:rPr>
              <w:t>застосування нових підходів та методів прогнозування</w:t>
            </w:r>
          </w:p>
        </w:tc>
      </w:tr>
      <w:tr w:rsidR="005C29D1" w:rsidRPr="00032EF6" w14:paraId="41F52C70" w14:textId="77777777" w:rsidTr="00CE3771">
        <w:trPr>
          <w:trHeight w:val="643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6F6A0" w14:textId="2A29FBEC" w:rsidR="005C29D1" w:rsidRPr="00032EF6" w:rsidRDefault="005C29D1" w:rsidP="007C36FC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r w:rsidRPr="00032EF6">
              <w:rPr>
                <w:sz w:val="28"/>
                <w:lang w:val="ru-RU"/>
              </w:rPr>
              <w:lastRenderedPageBreak/>
              <w:t>Короткий</w:t>
            </w:r>
            <w:r w:rsidRPr="00032EF6">
              <w:rPr>
                <w:spacing w:val="-4"/>
                <w:sz w:val="28"/>
                <w:lang w:val="ru-RU"/>
              </w:rPr>
              <w:t xml:space="preserve"> </w:t>
            </w:r>
            <w:proofErr w:type="spellStart"/>
            <w:r w:rsidRPr="00032EF6">
              <w:rPr>
                <w:sz w:val="28"/>
                <w:lang w:val="ru-RU"/>
              </w:rPr>
              <w:t>зміст</w:t>
            </w:r>
            <w:proofErr w:type="spellEnd"/>
            <w:r w:rsidRPr="00032EF6">
              <w:rPr>
                <w:spacing w:val="-4"/>
                <w:sz w:val="28"/>
                <w:lang w:val="ru-RU"/>
              </w:rPr>
              <w:t>: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B12" w14:textId="4239F57D" w:rsidR="00E5252E" w:rsidRPr="00E5252E" w:rsidRDefault="00E5252E" w:rsidP="00E5252E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 w:rsidRPr="00E5252E">
              <w:rPr>
                <w:sz w:val="28"/>
                <w:lang w:val="uk-UA"/>
              </w:rPr>
              <w:t>Освітня компонента</w:t>
            </w:r>
            <w:r>
              <w:rPr>
                <w:b/>
                <w:bCs/>
                <w:sz w:val="28"/>
                <w:lang w:val="uk-UA"/>
              </w:rPr>
              <w:t xml:space="preserve"> </w:t>
            </w:r>
            <w:r w:rsidRPr="00E5252E">
              <w:rPr>
                <w:b/>
                <w:bCs/>
                <w:sz w:val="28"/>
                <w:lang w:val="uk-UA"/>
              </w:rPr>
              <w:t>«ESG-стратегії в бізнесі»</w:t>
            </w:r>
            <w:r>
              <w:rPr>
                <w:sz w:val="28"/>
                <w:lang w:val="uk-UA"/>
              </w:rPr>
              <w:t xml:space="preserve"> </w:t>
            </w:r>
            <w:r w:rsidRPr="00E5252E">
              <w:rPr>
                <w:sz w:val="28"/>
                <w:lang w:val="uk-UA"/>
              </w:rPr>
              <w:t>спрямована на формування системного розуміння ESG (</w:t>
            </w:r>
            <w:proofErr w:type="spellStart"/>
            <w:r w:rsidRPr="00E5252E">
              <w:rPr>
                <w:sz w:val="28"/>
                <w:lang w:val="uk-UA"/>
              </w:rPr>
              <w:t>Environmental</w:t>
            </w:r>
            <w:proofErr w:type="spellEnd"/>
            <w:r w:rsidRPr="00E5252E">
              <w:rPr>
                <w:sz w:val="28"/>
                <w:lang w:val="uk-UA"/>
              </w:rPr>
              <w:t xml:space="preserve">, </w:t>
            </w:r>
            <w:proofErr w:type="spellStart"/>
            <w:r w:rsidRPr="00E5252E">
              <w:rPr>
                <w:sz w:val="28"/>
                <w:lang w:val="uk-UA"/>
              </w:rPr>
              <w:t>Social</w:t>
            </w:r>
            <w:proofErr w:type="spellEnd"/>
            <w:r w:rsidRPr="00E5252E">
              <w:rPr>
                <w:sz w:val="28"/>
                <w:lang w:val="uk-UA"/>
              </w:rPr>
              <w:t xml:space="preserve">, </w:t>
            </w:r>
            <w:proofErr w:type="spellStart"/>
            <w:r w:rsidRPr="00E5252E">
              <w:rPr>
                <w:sz w:val="28"/>
                <w:lang w:val="uk-UA"/>
              </w:rPr>
              <w:t>Governance</w:t>
            </w:r>
            <w:proofErr w:type="spellEnd"/>
            <w:r w:rsidRPr="00E5252E">
              <w:rPr>
                <w:sz w:val="28"/>
                <w:lang w:val="uk-UA"/>
              </w:rPr>
              <w:t>) як сучасної моделі сталого та відповідального ведення бізнесу. У курсі розглядаються принципи інтеграції екологічних, соціальних та управлінських факторів у корпоративні стратегії, бізнес-процеси та систему прийняття управлінських рішень.</w:t>
            </w:r>
          </w:p>
          <w:p w14:paraId="790A24F7" w14:textId="6DAA8840" w:rsidR="00E5252E" w:rsidRPr="00E5252E" w:rsidRDefault="00E5252E" w:rsidP="00E5252E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 w:rsidRPr="00E5252E">
              <w:rPr>
                <w:sz w:val="28"/>
                <w:lang w:val="uk-UA"/>
              </w:rPr>
              <w:t xml:space="preserve">Особлива увага приділяється ролі ESG у підвищенні інвестиційної привабливості компаній, управлінні ризиками, доступі до фінансування та формуванні довіри з боку клієнтів, партнерів і регуляторів. </w:t>
            </w:r>
            <w:r>
              <w:rPr>
                <w:sz w:val="28"/>
                <w:lang w:val="uk-UA"/>
              </w:rPr>
              <w:t xml:space="preserve">Здобувачі </w:t>
            </w:r>
            <w:r w:rsidRPr="00E5252E">
              <w:rPr>
                <w:sz w:val="28"/>
                <w:lang w:val="uk-UA"/>
              </w:rPr>
              <w:t>вивчають міжнародні стандарти ESG-звітності, вимоги банків та інвесторів, а також практики впровадження ESG у різних секторах економіки, зокрема у сфері послуг та гостинності.</w:t>
            </w:r>
          </w:p>
          <w:p w14:paraId="1539196F" w14:textId="77777777" w:rsidR="00E5252E" w:rsidRPr="00E5252E" w:rsidRDefault="00E5252E" w:rsidP="00E5252E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  <w:r w:rsidRPr="00E5252E">
              <w:rPr>
                <w:sz w:val="28"/>
                <w:lang w:val="uk-UA"/>
              </w:rPr>
              <w:t>Курс формує навички розробки ESG-стратегій, оцінки нефінансових показників діяльності бізнесу та використання ESG як інструменту довгострокової конкурентоспроможності.</w:t>
            </w:r>
          </w:p>
          <w:p w14:paraId="3B803EC7" w14:textId="3EB180C0" w:rsidR="005C29D1" w:rsidRPr="00E5252E" w:rsidRDefault="005C29D1" w:rsidP="002E7E62">
            <w:pPr>
              <w:pStyle w:val="TableParagraph"/>
              <w:ind w:left="142" w:right="99"/>
              <w:jc w:val="both"/>
              <w:rPr>
                <w:sz w:val="28"/>
                <w:lang w:val="uk-UA"/>
              </w:rPr>
            </w:pPr>
          </w:p>
        </w:tc>
      </w:tr>
      <w:tr w:rsidR="00E5252E" w:rsidRPr="00032EF6" w14:paraId="758EE79F" w14:textId="77777777" w:rsidTr="00E5252E">
        <w:trPr>
          <w:trHeight w:val="699"/>
        </w:trPr>
        <w:tc>
          <w:tcPr>
            <w:tcW w:w="41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990C9C" w14:textId="77777777" w:rsidR="00E5252E" w:rsidRPr="00032EF6" w:rsidRDefault="00E5252E" w:rsidP="00E5252E">
            <w:pPr>
              <w:pStyle w:val="TableParagraph"/>
              <w:spacing w:line="320" w:lineRule="atLeast"/>
              <w:ind w:right="146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  <w:lang w:val="ru-RU"/>
              </w:rPr>
              <w:t>Перелік</w:t>
            </w:r>
            <w:proofErr w:type="spellEnd"/>
            <w:r w:rsidRPr="00032EF6">
              <w:rPr>
                <w:sz w:val="28"/>
                <w:lang w:val="ru-RU"/>
              </w:rPr>
              <w:t xml:space="preserve"> тем</w:t>
            </w:r>
          </w:p>
          <w:p w14:paraId="2376E533" w14:textId="6C85AB0A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r w:rsidRPr="00032EF6">
              <w:rPr>
                <w:sz w:val="28"/>
                <w:lang w:val="uk-UA"/>
              </w:rPr>
              <w:t xml:space="preserve"> 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43A7F3" w14:textId="1EFA2323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b/>
                <w:bCs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Концепція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її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еволюція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в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глобальній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економіці</w:t>
            </w:r>
            <w:proofErr w:type="spellEnd"/>
          </w:p>
        </w:tc>
      </w:tr>
      <w:tr w:rsidR="00E5252E" w:rsidRPr="00032EF6" w14:paraId="3B4641DB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05CD51" w14:textId="77777777" w:rsidR="00E5252E" w:rsidRPr="001B6CB8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287F4" w14:textId="02FCBED1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MD"/>
              </w:rPr>
              <w:t xml:space="preserve"> і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цілі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сталого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розвитку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(</w:t>
            </w:r>
            <w:r w:rsidRPr="00E5252E">
              <w:rPr>
                <w:rStyle w:val="a5"/>
                <w:b w:val="0"/>
                <w:bCs w:val="0"/>
              </w:rPr>
              <w:t>SDGs</w:t>
            </w:r>
            <w:r w:rsidRPr="00E5252E">
              <w:rPr>
                <w:rStyle w:val="a5"/>
                <w:b w:val="0"/>
                <w:bCs w:val="0"/>
                <w:lang w:val="ru-MD"/>
              </w:rPr>
              <w:t>)</w:t>
            </w:r>
          </w:p>
        </w:tc>
      </w:tr>
      <w:tr w:rsidR="00E5252E" w:rsidRPr="00032EF6" w14:paraId="7F3646E8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1B0FE0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F957" w14:textId="59EAE079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Environmental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: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екологічна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відповідальність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кліматичні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стратегії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бізнесу</w:t>
            </w:r>
            <w:proofErr w:type="spellEnd"/>
          </w:p>
        </w:tc>
      </w:tr>
      <w:tr w:rsidR="00E5252E" w:rsidRPr="00032EF6" w14:paraId="0A40B2B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83856C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666F" w14:textId="1CFA9EEA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Social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: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соціальна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політика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, права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працівників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інклюзія</w:t>
            </w:r>
            <w:proofErr w:type="spellEnd"/>
          </w:p>
        </w:tc>
      </w:tr>
      <w:tr w:rsidR="00E5252E" w:rsidRPr="00032EF6" w14:paraId="6BEDC434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C8E36E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9CDED" w14:textId="26747D7E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Governance</w:t>
            </w:r>
            <w:r w:rsidRPr="00E5252E">
              <w:rPr>
                <w:rStyle w:val="a5"/>
                <w:b w:val="0"/>
                <w:bCs w:val="0"/>
                <w:lang w:val="ru-MD"/>
              </w:rPr>
              <w:t xml:space="preserve">: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корпоративне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управління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,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етика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комплаєнс</w:t>
            </w:r>
            <w:proofErr w:type="spellEnd"/>
          </w:p>
        </w:tc>
      </w:tr>
      <w:tr w:rsidR="00E5252E" w:rsidRPr="00032EF6" w14:paraId="11C9DC4C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F79AB9" w14:textId="77777777" w:rsidR="00E5252E" w:rsidRPr="004D5F6C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6AD2" w14:textId="0317B658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 і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фінансові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ринки: банки,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інвестори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, </w:t>
            </w:r>
            <w:r w:rsidRPr="00E5252E">
              <w:rPr>
                <w:rStyle w:val="a5"/>
                <w:b w:val="0"/>
                <w:bCs w:val="0"/>
              </w:rPr>
              <w:t>green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r w:rsidRPr="00E5252E">
              <w:rPr>
                <w:rStyle w:val="a5"/>
                <w:b w:val="0"/>
                <w:bCs w:val="0"/>
              </w:rPr>
              <w:t>finance</w:t>
            </w:r>
          </w:p>
        </w:tc>
      </w:tr>
      <w:tr w:rsidR="00E5252E" w:rsidRPr="00032EF6" w14:paraId="4DDE604E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8F77DC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6105B" w14:textId="31A3E95C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MD"/>
              </w:rPr>
              <w:t>-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ризики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управління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нефінансовими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загрозами</w:t>
            </w:r>
            <w:proofErr w:type="spellEnd"/>
          </w:p>
        </w:tc>
      </w:tr>
      <w:tr w:rsidR="00E5252E" w:rsidRPr="00032EF6" w14:paraId="374C5899" w14:textId="77777777" w:rsidTr="004A68B6">
        <w:trPr>
          <w:trHeight w:val="32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ED42571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6D71" w14:textId="4A0DAB83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RU"/>
              </w:rPr>
              <w:t>-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звітність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і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міжнародні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proofErr w:type="spellStart"/>
            <w:r w:rsidRPr="00E5252E">
              <w:rPr>
                <w:rStyle w:val="a5"/>
                <w:b w:val="0"/>
                <w:bCs w:val="0"/>
                <w:lang w:val="ru-RU"/>
              </w:rPr>
              <w:t>стандарти</w:t>
            </w:r>
            <w:proofErr w:type="spellEnd"/>
            <w:r w:rsidRPr="00E5252E">
              <w:rPr>
                <w:rStyle w:val="a5"/>
                <w:b w:val="0"/>
                <w:bCs w:val="0"/>
                <w:lang w:val="ru-RU"/>
              </w:rPr>
              <w:t xml:space="preserve"> (</w:t>
            </w:r>
            <w:r w:rsidRPr="00E5252E">
              <w:rPr>
                <w:rStyle w:val="a5"/>
                <w:b w:val="0"/>
                <w:bCs w:val="0"/>
              </w:rPr>
              <w:t>GRI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, </w:t>
            </w:r>
            <w:r w:rsidRPr="00E5252E">
              <w:rPr>
                <w:rStyle w:val="a5"/>
                <w:b w:val="0"/>
                <w:bCs w:val="0"/>
              </w:rPr>
              <w:t>CSRD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, </w:t>
            </w:r>
            <w:r w:rsidRPr="00E5252E">
              <w:rPr>
                <w:rStyle w:val="a5"/>
                <w:b w:val="0"/>
                <w:bCs w:val="0"/>
              </w:rPr>
              <w:t>EU</w:t>
            </w:r>
            <w:r w:rsidRPr="00E5252E">
              <w:rPr>
                <w:rStyle w:val="a5"/>
                <w:b w:val="0"/>
                <w:bCs w:val="0"/>
                <w:lang w:val="ru-RU"/>
              </w:rPr>
              <w:t xml:space="preserve"> </w:t>
            </w:r>
            <w:r w:rsidRPr="00E5252E">
              <w:rPr>
                <w:rStyle w:val="a5"/>
                <w:b w:val="0"/>
                <w:bCs w:val="0"/>
              </w:rPr>
              <w:t>Taxonomy</w:t>
            </w:r>
            <w:r w:rsidRPr="00E5252E">
              <w:rPr>
                <w:rStyle w:val="a5"/>
                <w:b w:val="0"/>
                <w:bCs w:val="0"/>
                <w:lang w:val="ru-RU"/>
              </w:rPr>
              <w:t>)</w:t>
            </w:r>
          </w:p>
        </w:tc>
      </w:tr>
      <w:tr w:rsidR="00E5252E" w:rsidRPr="00032EF6" w14:paraId="0F38C45D" w14:textId="77777777" w:rsidTr="004336AF">
        <w:trPr>
          <w:trHeight w:val="382"/>
        </w:trPr>
        <w:tc>
          <w:tcPr>
            <w:tcW w:w="41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9AAA415" w14:textId="77777777" w:rsidR="00E5252E" w:rsidRPr="00032EF6" w:rsidRDefault="00E5252E" w:rsidP="00E5252E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659CB0" w14:textId="43877D5C" w:rsidR="00E5252E" w:rsidRPr="00E5252E" w:rsidRDefault="00E5252E" w:rsidP="00E5252E">
            <w:pPr>
              <w:pStyle w:val="TableParagraph"/>
              <w:spacing w:before="1" w:line="301" w:lineRule="exact"/>
              <w:ind w:left="76"/>
              <w:rPr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Інтеграція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</w:t>
            </w:r>
            <w:r w:rsidRPr="00E5252E">
              <w:rPr>
                <w:rStyle w:val="a5"/>
                <w:b w:val="0"/>
                <w:bCs w:val="0"/>
              </w:rPr>
              <w:t>ESG</w:t>
            </w:r>
            <w:r w:rsidRPr="00E5252E">
              <w:rPr>
                <w:rStyle w:val="a5"/>
                <w:b w:val="0"/>
                <w:bCs w:val="0"/>
                <w:lang w:val="ru-MD"/>
              </w:rPr>
              <w:t xml:space="preserve"> у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корпоративну</w:t>
            </w:r>
            <w:proofErr w:type="spellEnd"/>
            <w:r w:rsidRPr="00E5252E">
              <w:rPr>
                <w:rStyle w:val="a5"/>
                <w:b w:val="0"/>
                <w:bCs w:val="0"/>
                <w:lang w:val="ru-MD"/>
              </w:rPr>
              <w:t xml:space="preserve"> та </w:t>
            </w:r>
            <w:proofErr w:type="spellStart"/>
            <w:r w:rsidRPr="00E5252E">
              <w:rPr>
                <w:rStyle w:val="a5"/>
                <w:b w:val="0"/>
                <w:bCs w:val="0"/>
                <w:lang w:val="ru-MD"/>
              </w:rPr>
              <w:t>бізнес-стратегію</w:t>
            </w:r>
            <w:proofErr w:type="spellEnd"/>
          </w:p>
        </w:tc>
      </w:tr>
      <w:tr w:rsidR="005C29D1" w:rsidRPr="00032EF6" w14:paraId="7CD398DB" w14:textId="77777777" w:rsidTr="00CE3771">
        <w:trPr>
          <w:trHeight w:val="322"/>
        </w:trPr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EC94E" w14:textId="5C9C0890" w:rsidR="005C29D1" w:rsidRPr="00032EF6" w:rsidRDefault="005C29D1" w:rsidP="005C29D1">
            <w:pPr>
              <w:pStyle w:val="TableParagraph"/>
              <w:spacing w:line="303" w:lineRule="exact"/>
              <w:rPr>
                <w:sz w:val="28"/>
                <w:lang w:val="ru-RU"/>
              </w:rPr>
            </w:pPr>
            <w:proofErr w:type="spellStart"/>
            <w:r w:rsidRPr="00032EF6">
              <w:rPr>
                <w:sz w:val="28"/>
              </w:rPr>
              <w:t>Форма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семестрового</w:t>
            </w:r>
            <w:proofErr w:type="spellEnd"/>
            <w:r w:rsidRPr="00032EF6">
              <w:rPr>
                <w:spacing w:val="-4"/>
                <w:sz w:val="28"/>
              </w:rPr>
              <w:t xml:space="preserve"> </w:t>
            </w:r>
            <w:proofErr w:type="spellStart"/>
            <w:r w:rsidRPr="00032EF6">
              <w:rPr>
                <w:sz w:val="28"/>
              </w:rPr>
              <w:t>контролю</w:t>
            </w:r>
            <w:proofErr w:type="spellEnd"/>
            <w:r w:rsidRPr="00032EF6">
              <w:rPr>
                <w:sz w:val="28"/>
              </w:rPr>
              <w:t>*</w:t>
            </w:r>
          </w:p>
        </w:tc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A799" w14:textId="3FAC5008" w:rsidR="005C29D1" w:rsidRPr="00032EF6" w:rsidRDefault="005C29D1" w:rsidP="005C29D1">
            <w:pPr>
              <w:pStyle w:val="TableParagraph"/>
              <w:spacing w:before="1" w:line="301" w:lineRule="exact"/>
              <w:ind w:left="76"/>
              <w:rPr>
                <w:sz w:val="28"/>
                <w:szCs w:val="28"/>
                <w:lang w:val="uk-UA"/>
              </w:rPr>
            </w:pPr>
            <w:r w:rsidRPr="00032EF6">
              <w:rPr>
                <w:sz w:val="28"/>
                <w:szCs w:val="28"/>
                <w:lang w:val="uk-UA"/>
              </w:rPr>
              <w:t>Залік.</w:t>
            </w:r>
          </w:p>
        </w:tc>
      </w:tr>
    </w:tbl>
    <w:p w14:paraId="24622B86" w14:textId="77777777" w:rsidR="005C7CE8" w:rsidRPr="00032EF6" w:rsidRDefault="005C7CE8"/>
    <w:sectPr w:rsidR="005C7CE8" w:rsidRPr="00032E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B5F16"/>
    <w:multiLevelType w:val="hybridMultilevel"/>
    <w:tmpl w:val="37FACF1C"/>
    <w:lvl w:ilvl="0" w:tplc="0422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num w:numId="1" w16cid:durableId="24838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469"/>
    <w:rsid w:val="00032EF6"/>
    <w:rsid w:val="00087275"/>
    <w:rsid w:val="000F4723"/>
    <w:rsid w:val="001057CD"/>
    <w:rsid w:val="001330E6"/>
    <w:rsid w:val="00197FC8"/>
    <w:rsid w:val="001B0C7B"/>
    <w:rsid w:val="001B6CB8"/>
    <w:rsid w:val="001F1153"/>
    <w:rsid w:val="002B7469"/>
    <w:rsid w:val="002D5B53"/>
    <w:rsid w:val="002D751B"/>
    <w:rsid w:val="002D7B2E"/>
    <w:rsid w:val="002E7E62"/>
    <w:rsid w:val="003B7830"/>
    <w:rsid w:val="003F750B"/>
    <w:rsid w:val="004336AF"/>
    <w:rsid w:val="004814C6"/>
    <w:rsid w:val="004B402C"/>
    <w:rsid w:val="004D5F6C"/>
    <w:rsid w:val="004D76EC"/>
    <w:rsid w:val="00582A9A"/>
    <w:rsid w:val="005C29D1"/>
    <w:rsid w:val="005C7CE8"/>
    <w:rsid w:val="006B4956"/>
    <w:rsid w:val="007A6DEE"/>
    <w:rsid w:val="007B3ECF"/>
    <w:rsid w:val="007C36FC"/>
    <w:rsid w:val="007D6E65"/>
    <w:rsid w:val="00816B8A"/>
    <w:rsid w:val="008932D1"/>
    <w:rsid w:val="008A0006"/>
    <w:rsid w:val="00966E03"/>
    <w:rsid w:val="009F603A"/>
    <w:rsid w:val="00A85127"/>
    <w:rsid w:val="00B54FA1"/>
    <w:rsid w:val="00BA0CAD"/>
    <w:rsid w:val="00BE333F"/>
    <w:rsid w:val="00C858CE"/>
    <w:rsid w:val="00CE3771"/>
    <w:rsid w:val="00DB1EBA"/>
    <w:rsid w:val="00DE5E68"/>
    <w:rsid w:val="00E111BA"/>
    <w:rsid w:val="00E5252E"/>
    <w:rsid w:val="00ED7CCA"/>
    <w:rsid w:val="00EE5A0B"/>
    <w:rsid w:val="00F25B03"/>
    <w:rsid w:val="00FA7BF7"/>
    <w:rsid w:val="00FB3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385"/>
  <w15:chartTrackingRefBased/>
  <w15:docId w15:val="{021A7A86-57CC-4D43-8D45-CEFFAFCB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5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3F750B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3F750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F750B"/>
    <w:pPr>
      <w:ind w:left="136"/>
    </w:pPr>
  </w:style>
  <w:style w:type="table" w:customStyle="1" w:styleId="TableNormal">
    <w:name w:val="Table Normal"/>
    <w:uiPriority w:val="2"/>
    <w:semiHidden/>
    <w:qFormat/>
    <w:rsid w:val="003F750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Strong"/>
    <w:basedOn w:val="a0"/>
    <w:uiPriority w:val="22"/>
    <w:qFormat/>
    <w:rsid w:val="002E7E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9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3</Pages>
  <Words>2492</Words>
  <Characters>1421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UzhNU</dc:creator>
  <cp:keywords/>
  <dc:description/>
  <cp:lastModifiedBy>Галина Вікторівна Кіш</cp:lastModifiedBy>
  <cp:revision>34</cp:revision>
  <dcterms:created xsi:type="dcterms:W3CDTF">2021-12-05T16:02:00Z</dcterms:created>
  <dcterms:modified xsi:type="dcterms:W3CDTF">2026-01-13T11:00:00Z</dcterms:modified>
</cp:coreProperties>
</file>