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75" w:rsidRPr="009836D0" w:rsidRDefault="00A86D75" w:rsidP="009836D0">
      <w:pPr>
        <w:pStyle w:val="a3"/>
        <w:widowControl/>
        <w:ind w:left="57" w:right="57"/>
        <w:contextualSpacing/>
        <w:jc w:val="center"/>
        <w:rPr>
          <w:kern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A86D75" w:rsidRPr="00C91FF2" w:rsidTr="005A3CE2">
        <w:trPr>
          <w:trHeight w:val="644"/>
        </w:trPr>
        <w:tc>
          <w:tcPr>
            <w:tcW w:w="4118" w:type="dxa"/>
            <w:shd w:val="clear" w:color="auto" w:fill="auto"/>
            <w:vAlign w:val="center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Назва</w:t>
            </w:r>
            <w:r w:rsidRPr="00C91FF2">
              <w:rPr>
                <w:spacing w:val="-13"/>
                <w:sz w:val="28"/>
                <w:szCs w:val="28"/>
              </w:rPr>
              <w:t xml:space="preserve"> </w:t>
            </w:r>
            <w:r w:rsidRPr="00C91FF2">
              <w:rPr>
                <w:spacing w:val="-2"/>
                <w:sz w:val="28"/>
                <w:szCs w:val="28"/>
              </w:rPr>
              <w:t>дисципліни</w:t>
            </w:r>
          </w:p>
        </w:tc>
        <w:tc>
          <w:tcPr>
            <w:tcW w:w="5634" w:type="dxa"/>
            <w:shd w:val="clear" w:color="auto" w:fill="auto"/>
          </w:tcPr>
          <w:p w:rsidR="00A86D75" w:rsidRPr="00C91FF2" w:rsidRDefault="00E449EC" w:rsidP="00C91FF2">
            <w:pPr>
              <w:pStyle w:val="TableParagraph"/>
              <w:tabs>
                <w:tab w:val="left" w:pos="1795"/>
                <w:tab w:val="left" w:pos="2914"/>
                <w:tab w:val="left" w:pos="4297"/>
                <w:tab w:val="left" w:pos="5474"/>
              </w:tabs>
              <w:spacing w:line="276" w:lineRule="auto"/>
              <w:ind w:right="-15"/>
              <w:rPr>
                <w:b/>
                <w:sz w:val="28"/>
                <w:szCs w:val="28"/>
              </w:rPr>
            </w:pPr>
            <w:r w:rsidRPr="00C91FF2">
              <w:rPr>
                <w:b/>
                <w:spacing w:val="-2"/>
                <w:sz w:val="28"/>
                <w:szCs w:val="28"/>
              </w:rPr>
              <w:t>Експертиза</w:t>
            </w:r>
            <w:r w:rsidR="009836D0" w:rsidRPr="00C91FF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91FF2">
              <w:rPr>
                <w:b/>
                <w:spacing w:val="-2"/>
                <w:sz w:val="28"/>
                <w:szCs w:val="28"/>
              </w:rPr>
              <w:t>якості</w:t>
            </w:r>
            <w:r w:rsidR="009836D0" w:rsidRPr="00C91FF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91FF2">
              <w:rPr>
                <w:b/>
                <w:spacing w:val="-2"/>
                <w:sz w:val="28"/>
                <w:szCs w:val="28"/>
              </w:rPr>
              <w:t>надання</w:t>
            </w:r>
            <w:r w:rsidR="009836D0" w:rsidRPr="00C91FF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91FF2">
              <w:rPr>
                <w:b/>
                <w:spacing w:val="-2"/>
                <w:sz w:val="28"/>
                <w:szCs w:val="28"/>
              </w:rPr>
              <w:t>послуг</w:t>
            </w:r>
            <w:r w:rsidR="009836D0" w:rsidRPr="00C91FF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91FF2">
              <w:rPr>
                <w:b/>
                <w:spacing w:val="-10"/>
                <w:sz w:val="28"/>
                <w:szCs w:val="28"/>
              </w:rPr>
              <w:t xml:space="preserve">в </w:t>
            </w:r>
            <w:r w:rsidRPr="00C91FF2">
              <w:rPr>
                <w:b/>
                <w:sz w:val="28"/>
                <w:szCs w:val="28"/>
              </w:rPr>
              <w:t>готельно-ресторанній індустрії</w:t>
            </w:r>
          </w:p>
        </w:tc>
      </w:tr>
      <w:tr w:rsidR="005A3CE2" w:rsidRPr="00C91FF2" w:rsidTr="00DC65B3">
        <w:trPr>
          <w:trHeight w:val="320"/>
        </w:trPr>
        <w:tc>
          <w:tcPr>
            <w:tcW w:w="4118" w:type="dxa"/>
          </w:tcPr>
          <w:p w:rsidR="005A3CE2" w:rsidRPr="00C91FF2" w:rsidRDefault="005A3CE2" w:rsidP="00C91FF2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C91FF2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91FF2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5A3CE2" w:rsidRPr="00C91FF2" w:rsidTr="009836D0">
        <w:trPr>
          <w:trHeight w:val="312"/>
        </w:trPr>
        <w:tc>
          <w:tcPr>
            <w:tcW w:w="4118" w:type="dxa"/>
          </w:tcPr>
          <w:p w:rsidR="005A3CE2" w:rsidRPr="00C91FF2" w:rsidRDefault="005A3CE2" w:rsidP="00C91FF2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C91FF2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91FF2">
              <w:rPr>
                <w:sz w:val="28"/>
                <w:szCs w:val="28"/>
                <w:lang w:eastAsia="uk-UA"/>
              </w:rPr>
              <w:t>І</w:t>
            </w:r>
            <w:r w:rsidRPr="00C91FF2">
              <w:rPr>
                <w:sz w:val="28"/>
                <w:szCs w:val="28"/>
                <w:lang w:eastAsia="uk-UA"/>
              </w:rPr>
              <w:t>ІІ</w:t>
            </w:r>
          </w:p>
        </w:tc>
      </w:tr>
      <w:tr w:rsidR="005A3CE2" w:rsidRPr="00C91FF2" w:rsidTr="009836D0">
        <w:trPr>
          <w:trHeight w:val="247"/>
        </w:trPr>
        <w:tc>
          <w:tcPr>
            <w:tcW w:w="4118" w:type="dxa"/>
          </w:tcPr>
          <w:p w:rsidR="005A3CE2" w:rsidRPr="00C91FF2" w:rsidRDefault="005A3CE2" w:rsidP="00C91FF2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C91FF2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C91FF2">
              <w:rPr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86D75" w:rsidRPr="00C91FF2" w:rsidTr="00AF33CB">
        <w:trPr>
          <w:trHeight w:val="320"/>
        </w:trPr>
        <w:tc>
          <w:tcPr>
            <w:tcW w:w="4118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Обсяг</w:t>
            </w:r>
            <w:r w:rsidRPr="00C91FF2">
              <w:rPr>
                <w:spacing w:val="-18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дисципліни</w:t>
            </w:r>
            <w:r w:rsidRPr="00C91FF2">
              <w:rPr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 xml:space="preserve">у </w:t>
            </w:r>
            <w:r w:rsidR="005A3CE2" w:rsidRPr="00C91FF2">
              <w:rPr>
                <w:spacing w:val="-2"/>
                <w:sz w:val="28"/>
                <w:szCs w:val="28"/>
              </w:rPr>
              <w:t>кредитах</w:t>
            </w:r>
          </w:p>
        </w:tc>
        <w:tc>
          <w:tcPr>
            <w:tcW w:w="5634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3</w:t>
            </w:r>
            <w:r w:rsidRPr="00C91FF2">
              <w:rPr>
                <w:spacing w:val="-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кредити</w:t>
            </w:r>
            <w:r w:rsidRPr="00C91FF2">
              <w:rPr>
                <w:spacing w:val="-8"/>
                <w:sz w:val="28"/>
                <w:szCs w:val="28"/>
              </w:rPr>
              <w:t xml:space="preserve"> </w:t>
            </w:r>
            <w:r w:rsidRPr="00C91FF2">
              <w:rPr>
                <w:spacing w:val="-4"/>
                <w:sz w:val="28"/>
                <w:szCs w:val="28"/>
              </w:rPr>
              <w:t>ЄКТС</w:t>
            </w:r>
          </w:p>
        </w:tc>
      </w:tr>
      <w:tr w:rsidR="00A86D75" w:rsidRPr="00C91FF2" w:rsidTr="00AF33CB">
        <w:trPr>
          <w:trHeight w:val="269"/>
        </w:trPr>
        <w:tc>
          <w:tcPr>
            <w:tcW w:w="4118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Мова</w:t>
            </w:r>
            <w:r w:rsidRPr="00C91FF2">
              <w:rPr>
                <w:spacing w:val="-14"/>
                <w:sz w:val="28"/>
                <w:szCs w:val="28"/>
              </w:rPr>
              <w:t xml:space="preserve"> </w:t>
            </w:r>
            <w:r w:rsidRPr="00C91FF2">
              <w:rPr>
                <w:spacing w:val="-2"/>
                <w:sz w:val="28"/>
                <w:szCs w:val="28"/>
              </w:rPr>
              <w:t>викладання</w:t>
            </w:r>
          </w:p>
        </w:tc>
        <w:tc>
          <w:tcPr>
            <w:tcW w:w="5634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pacing w:val="-2"/>
                <w:sz w:val="28"/>
                <w:szCs w:val="28"/>
              </w:rPr>
              <w:t>Українська</w:t>
            </w:r>
          </w:p>
        </w:tc>
      </w:tr>
      <w:tr w:rsidR="00A86D75" w:rsidRPr="00C91FF2" w:rsidTr="005A3CE2">
        <w:trPr>
          <w:trHeight w:val="2173"/>
        </w:trPr>
        <w:tc>
          <w:tcPr>
            <w:tcW w:w="4118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Передумови</w:t>
            </w:r>
            <w:r w:rsidRPr="00C91FF2">
              <w:rPr>
                <w:spacing w:val="-18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для</w:t>
            </w:r>
            <w:r w:rsidRPr="00C91FF2">
              <w:rPr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 xml:space="preserve">вивчення </w:t>
            </w:r>
            <w:r w:rsidRPr="00C91FF2">
              <w:rPr>
                <w:spacing w:val="-2"/>
                <w:sz w:val="28"/>
                <w:szCs w:val="28"/>
              </w:rPr>
              <w:t>дисципліни</w:t>
            </w:r>
          </w:p>
        </w:tc>
        <w:tc>
          <w:tcPr>
            <w:tcW w:w="5634" w:type="dxa"/>
          </w:tcPr>
          <w:p w:rsidR="00A86D75" w:rsidRPr="00C91FF2" w:rsidRDefault="00E449EC" w:rsidP="00C91FF2">
            <w:pPr>
              <w:pStyle w:val="TableParagraph"/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Ефективність засвоєння даного курсу підвищує попереднє вивчення таких навчальних дисциплін як «Організація готельної справи», «Організація ресторанної справи»,</w:t>
            </w:r>
            <w:r w:rsidRPr="00C91FF2">
              <w:rPr>
                <w:spacing w:val="31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«Економіка</w:t>
            </w:r>
            <w:r w:rsidR="009836D0" w:rsidRPr="00C91FF2">
              <w:rPr>
                <w:spacing w:val="30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готельно-</w:t>
            </w:r>
            <w:r w:rsidRPr="00C91FF2">
              <w:rPr>
                <w:spacing w:val="-2"/>
                <w:sz w:val="28"/>
                <w:szCs w:val="28"/>
              </w:rPr>
              <w:t>ресторанного</w:t>
            </w:r>
            <w:r w:rsidR="009836D0" w:rsidRPr="00C91FF2">
              <w:rPr>
                <w:spacing w:val="-2"/>
                <w:sz w:val="28"/>
                <w:szCs w:val="28"/>
              </w:rPr>
              <w:t xml:space="preserve"> </w:t>
            </w:r>
            <w:r w:rsidRPr="00C91FF2">
              <w:rPr>
                <w:spacing w:val="-2"/>
                <w:sz w:val="28"/>
                <w:szCs w:val="28"/>
              </w:rPr>
              <w:t>господарства»,</w:t>
            </w:r>
            <w:r w:rsidRPr="00C91FF2">
              <w:rPr>
                <w:spacing w:val="4"/>
                <w:sz w:val="28"/>
                <w:szCs w:val="28"/>
              </w:rPr>
              <w:t xml:space="preserve"> </w:t>
            </w:r>
            <w:r w:rsidRPr="00C91FF2">
              <w:rPr>
                <w:spacing w:val="-2"/>
                <w:sz w:val="28"/>
                <w:szCs w:val="28"/>
              </w:rPr>
              <w:t>«Логіка»</w:t>
            </w:r>
            <w:r w:rsidRPr="00C91FF2">
              <w:rPr>
                <w:spacing w:val="4"/>
                <w:sz w:val="28"/>
                <w:szCs w:val="28"/>
              </w:rPr>
              <w:t xml:space="preserve"> </w:t>
            </w:r>
            <w:r w:rsidRPr="00C91FF2">
              <w:rPr>
                <w:spacing w:val="-4"/>
                <w:sz w:val="28"/>
                <w:szCs w:val="28"/>
              </w:rPr>
              <w:t>тощо.</w:t>
            </w:r>
          </w:p>
        </w:tc>
      </w:tr>
      <w:tr w:rsidR="005A3CE2" w:rsidRPr="00C91FF2" w:rsidTr="005A3CE2">
        <w:trPr>
          <w:trHeight w:val="702"/>
        </w:trPr>
        <w:tc>
          <w:tcPr>
            <w:tcW w:w="4118" w:type="dxa"/>
          </w:tcPr>
          <w:p w:rsidR="005A3CE2" w:rsidRPr="00C91FF2" w:rsidRDefault="005A3CE2" w:rsidP="00C91FF2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Кафедра,</w:t>
            </w:r>
            <w:r w:rsidRPr="00C91FF2">
              <w:rPr>
                <w:spacing w:val="-18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яка</w:t>
            </w:r>
            <w:r w:rsidRPr="00C91FF2">
              <w:rPr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забезпечує викладання дисципліни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pStyle w:val="TableParagraph"/>
              <w:tabs>
                <w:tab w:val="left" w:pos="1457"/>
                <w:tab w:val="left" w:pos="3203"/>
                <w:tab w:val="left" w:pos="5381"/>
              </w:tabs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pacing w:val="-2"/>
                <w:sz w:val="28"/>
                <w:szCs w:val="28"/>
              </w:rPr>
              <w:t xml:space="preserve">Кафедра туристичної інфраструктури </w:t>
            </w:r>
            <w:r w:rsidRPr="00C91FF2">
              <w:rPr>
                <w:spacing w:val="-6"/>
                <w:sz w:val="28"/>
                <w:szCs w:val="28"/>
              </w:rPr>
              <w:t xml:space="preserve">та </w:t>
            </w:r>
            <w:r w:rsidRPr="00C91FF2">
              <w:rPr>
                <w:sz w:val="28"/>
                <w:szCs w:val="28"/>
              </w:rPr>
              <w:t>готельно-ресторанного господарства</w:t>
            </w:r>
          </w:p>
        </w:tc>
      </w:tr>
      <w:tr w:rsidR="005A3CE2" w:rsidRPr="00C91FF2" w:rsidTr="005A3CE2">
        <w:trPr>
          <w:trHeight w:val="1265"/>
        </w:trPr>
        <w:tc>
          <w:tcPr>
            <w:tcW w:w="4118" w:type="dxa"/>
          </w:tcPr>
          <w:p w:rsidR="005A3CE2" w:rsidRPr="00C91FF2" w:rsidRDefault="005A3CE2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pacing w:val="-2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Технічні</w:t>
            </w:r>
            <w:r w:rsidRPr="00C91FF2">
              <w:rPr>
                <w:spacing w:val="-18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засоби</w:t>
            </w:r>
            <w:r w:rsidRPr="00C91FF2">
              <w:rPr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навчання</w:t>
            </w:r>
            <w:r w:rsidRPr="00C91FF2">
              <w:rPr>
                <w:b/>
                <w:sz w:val="28"/>
                <w:szCs w:val="28"/>
              </w:rPr>
              <w:t>:</w:t>
            </w:r>
            <w:r w:rsidRPr="00C91FF2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мультимедійне обладнання, ноутбук.</w:t>
            </w:r>
          </w:p>
          <w:p w:rsidR="005A3CE2" w:rsidRPr="00C91FF2" w:rsidRDefault="005A3CE2" w:rsidP="00C91FF2">
            <w:pPr>
              <w:pStyle w:val="TableParagraph"/>
              <w:tabs>
                <w:tab w:val="left" w:pos="2236"/>
                <w:tab w:val="left" w:pos="4682"/>
              </w:tabs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pacing w:val="-2"/>
                <w:sz w:val="28"/>
                <w:szCs w:val="28"/>
              </w:rPr>
              <w:t xml:space="preserve">Програмне забезпечення: система </w:t>
            </w:r>
            <w:r w:rsidRPr="00C91FF2">
              <w:rPr>
                <w:sz w:val="28"/>
                <w:szCs w:val="28"/>
              </w:rPr>
              <w:t xml:space="preserve">електронного навчання </w:t>
            </w:r>
            <w:proofErr w:type="spellStart"/>
            <w:r w:rsidRPr="00C91FF2">
              <w:rPr>
                <w:sz w:val="28"/>
                <w:szCs w:val="28"/>
              </w:rPr>
              <w:t>Moodle</w:t>
            </w:r>
            <w:proofErr w:type="spellEnd"/>
            <w:r w:rsidRPr="00C91FF2">
              <w:rPr>
                <w:sz w:val="28"/>
                <w:szCs w:val="28"/>
              </w:rPr>
              <w:t>;</w:t>
            </w:r>
          </w:p>
        </w:tc>
      </w:tr>
      <w:tr w:rsidR="005A3CE2" w:rsidRPr="00C91FF2" w:rsidTr="005A3CE2">
        <w:trPr>
          <w:trHeight w:val="815"/>
        </w:trPr>
        <w:tc>
          <w:tcPr>
            <w:tcW w:w="4118" w:type="dxa"/>
          </w:tcPr>
          <w:p w:rsidR="005A3CE2" w:rsidRPr="00C91FF2" w:rsidRDefault="005A3CE2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Форма</w:t>
            </w:r>
            <w:r w:rsidRPr="00C91FF2">
              <w:rPr>
                <w:spacing w:val="-17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проведення</w:t>
            </w:r>
            <w:r w:rsidRPr="00C91FF2">
              <w:rPr>
                <w:spacing w:val="-14"/>
                <w:sz w:val="28"/>
                <w:szCs w:val="28"/>
              </w:rPr>
              <w:t xml:space="preserve"> </w:t>
            </w:r>
            <w:r w:rsidRPr="00C91FF2">
              <w:rPr>
                <w:spacing w:val="-2"/>
                <w:sz w:val="28"/>
                <w:szCs w:val="28"/>
              </w:rPr>
              <w:t>занять</w:t>
            </w:r>
          </w:p>
        </w:tc>
        <w:tc>
          <w:tcPr>
            <w:tcW w:w="5634" w:type="dxa"/>
          </w:tcPr>
          <w:p w:rsidR="005A3CE2" w:rsidRPr="00C91FF2" w:rsidRDefault="005A3CE2" w:rsidP="00C91FF2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C91FF2">
              <w:rPr>
                <w:sz w:val="28"/>
                <w:szCs w:val="28"/>
              </w:rPr>
              <w:t>Гібридна</w:t>
            </w:r>
            <w:r w:rsidRPr="00C91FF2">
              <w:rPr>
                <w:spacing w:val="-11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(змішана):</w:t>
            </w:r>
            <w:r w:rsidRPr="00C91FF2">
              <w:rPr>
                <w:spacing w:val="-10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лекції</w:t>
            </w:r>
            <w:r w:rsidRPr="00C91FF2">
              <w:rPr>
                <w:spacing w:val="-10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та</w:t>
            </w:r>
            <w:r w:rsidRPr="00C91FF2">
              <w:rPr>
                <w:spacing w:val="-10"/>
                <w:sz w:val="28"/>
                <w:szCs w:val="28"/>
              </w:rPr>
              <w:t xml:space="preserve"> </w:t>
            </w:r>
            <w:r w:rsidRPr="00C91FF2">
              <w:rPr>
                <w:sz w:val="28"/>
                <w:szCs w:val="28"/>
              </w:rPr>
              <w:t>семінарські заняття – очно/дистанційно</w:t>
            </w:r>
          </w:p>
        </w:tc>
      </w:tr>
      <w:tr w:rsidR="003F342A" w:rsidRPr="00C91FF2" w:rsidTr="003F342A">
        <w:trPr>
          <w:trHeight w:val="416"/>
        </w:trPr>
        <w:tc>
          <w:tcPr>
            <w:tcW w:w="4118" w:type="dxa"/>
          </w:tcPr>
          <w:p w:rsidR="003F342A" w:rsidRPr="00C91FF2" w:rsidRDefault="003F342A" w:rsidP="00C91FF2">
            <w:pPr>
              <w:tabs>
                <w:tab w:val="left" w:pos="2850"/>
              </w:tabs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C91FF2">
              <w:rPr>
                <w:kern w:val="28"/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4" w:type="dxa"/>
          </w:tcPr>
          <w:p w:rsidR="003F342A" w:rsidRPr="00C91FF2" w:rsidRDefault="003F342A" w:rsidP="00C91FF2">
            <w:pPr>
              <w:pStyle w:val="TableParagraph"/>
              <w:spacing w:line="276" w:lineRule="auto"/>
              <w:ind w:left="57" w:right="57"/>
              <w:contextualSpacing/>
              <w:rPr>
                <w:kern w:val="28"/>
                <w:sz w:val="28"/>
                <w:szCs w:val="28"/>
              </w:rPr>
            </w:pPr>
            <w:r w:rsidRPr="00C91FF2">
              <w:rPr>
                <w:kern w:val="28"/>
                <w:sz w:val="28"/>
                <w:szCs w:val="28"/>
              </w:rPr>
              <w:t>Залік</w:t>
            </w:r>
          </w:p>
        </w:tc>
      </w:tr>
    </w:tbl>
    <w:p w:rsidR="00A86D75" w:rsidRPr="00C91FF2" w:rsidRDefault="00A86D75" w:rsidP="00C91FF2">
      <w:pPr>
        <w:spacing w:line="276" w:lineRule="auto"/>
        <w:jc w:val="both"/>
        <w:rPr>
          <w:sz w:val="28"/>
          <w:szCs w:val="28"/>
        </w:rPr>
        <w:sectPr w:rsidR="00A86D75" w:rsidRPr="00C91FF2">
          <w:type w:val="continuous"/>
          <w:pgSz w:w="11910" w:h="16840"/>
          <w:pgMar w:top="820" w:right="720" w:bottom="597" w:left="1160" w:header="708" w:footer="708" w:gutter="0"/>
          <w:cols w:space="720"/>
        </w:sectPr>
      </w:pPr>
    </w:p>
    <w:p w:rsidR="00C91FF2" w:rsidRPr="00C91FF2" w:rsidRDefault="00C91FF2" w:rsidP="00C91FF2">
      <w:pPr>
        <w:spacing w:line="276" w:lineRule="auto"/>
        <w:jc w:val="center"/>
        <w:rPr>
          <w:sz w:val="28"/>
          <w:szCs w:val="28"/>
          <w:lang w:eastAsia="uk-UA"/>
        </w:rPr>
      </w:pPr>
      <w:r w:rsidRPr="00C91FF2">
        <w:rPr>
          <w:b/>
          <w:bCs/>
          <w:color w:val="000000"/>
          <w:sz w:val="28"/>
          <w:szCs w:val="28"/>
          <w:lang w:eastAsia="uk-UA"/>
        </w:rPr>
        <w:lastRenderedPageBreak/>
        <w:t>Ключові результати навчання (знання, уміння та інші компетентності): </w:t>
      </w:r>
    </w:p>
    <w:p w:rsidR="00C91FF2" w:rsidRPr="00C91FF2" w:rsidRDefault="00C91FF2" w:rsidP="00C91FF2">
      <w:pPr>
        <w:spacing w:line="276" w:lineRule="auto"/>
        <w:ind w:firstLine="708"/>
        <w:jc w:val="both"/>
        <w:rPr>
          <w:sz w:val="28"/>
          <w:szCs w:val="28"/>
        </w:rPr>
      </w:pPr>
      <w:r w:rsidRPr="00C91FF2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C91FF2">
        <w:rPr>
          <w:b/>
          <w:sz w:val="28"/>
          <w:szCs w:val="28"/>
        </w:rPr>
        <w:t>компетентностей</w:t>
      </w:r>
      <w:proofErr w:type="spellEnd"/>
      <w:r w:rsidRPr="00C91FF2">
        <w:rPr>
          <w:sz w:val="28"/>
          <w:szCs w:val="28"/>
        </w:rPr>
        <w:t xml:space="preserve">: 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ЗК04. Здатність самостійно проводити дослідження, опановувати нові сучасні знання та застосовувати їх у практичній діяльності.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ЗК10. Здатність використовувати комунікаційні технології, налагоджувати міжособистісні взаємодії для командної та/або індивідуальної роботи.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ЗК11. Здатність до креативного генерування ідей та адаптації для ефективної діяльності у невизначених ситуаціях.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СК08. Здатність здійснювати практичну діяльність у сфері готельного та ресторанного бізнесу відповідно до чинного законодавства.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СК12. Розробляти, обґрунтовувати та впроваджувати стратегію зовнішньоекономічної діяльності підприємств індустрії гостинності.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СК13. Здатність виявляти, визначати й оцінювати ознаки, властивості і показники якості продукції та послуг, що впливають на рівень задоволеності потреб споживачів у сфері гостинності.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lastRenderedPageBreak/>
        <w:t>ПР03. Вміти застосовувати на практиці знання предметної області й суміжних наук та управляти своїм навчанням у професійній сфері індустрії гостинності.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ПР06. Розуміти технологічні процеси і принципи організації роботи суб’єктів готельного та ресторанного бізнесу.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ПР09. Організовувати процес надання готельних та ресторанних послуг на основі використання інноваційних, комунікаційних та сервісних технологій з дотримання високих стандартів якості і норм безпеки.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>ПР13. Здійснювати ефективний контроль якості продуктів та послуг закладів готельного і ресторанного господарства.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  <w:r w:rsidRPr="00C91FF2">
        <w:t xml:space="preserve">ПР20. </w:t>
      </w:r>
      <w:proofErr w:type="spellStart"/>
      <w:r w:rsidRPr="00C91FF2">
        <w:t>Професійно</w:t>
      </w:r>
      <w:proofErr w:type="spellEnd"/>
      <w:r w:rsidRPr="00C91FF2">
        <w:t xml:space="preserve"> виконувати завдання в стандартних, невизначених та екстремальних ситуаціях.</w:t>
      </w:r>
    </w:p>
    <w:p w:rsidR="00C91FF2" w:rsidRPr="00C91FF2" w:rsidRDefault="00C91FF2" w:rsidP="00C91FF2">
      <w:pPr>
        <w:pStyle w:val="a3"/>
        <w:spacing w:before="10" w:line="276" w:lineRule="auto"/>
        <w:ind w:left="0" w:firstLine="709"/>
      </w:pPr>
    </w:p>
    <w:p w:rsidR="00C91FF2" w:rsidRPr="00C91FF2" w:rsidRDefault="00C91FF2" w:rsidP="00C91FF2">
      <w:pPr>
        <w:spacing w:line="276" w:lineRule="auto"/>
        <w:ind w:left="426"/>
        <w:jc w:val="both"/>
        <w:rPr>
          <w:sz w:val="28"/>
          <w:szCs w:val="28"/>
          <w:lang w:eastAsia="uk-UA"/>
        </w:rPr>
      </w:pPr>
      <w:r w:rsidRPr="00C91FF2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C91FF2" w:rsidRPr="00C91FF2" w:rsidRDefault="00C91FF2" w:rsidP="00C91FF2">
      <w:pPr>
        <w:pStyle w:val="TableParagraph"/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1. Вимоги до якості надання послуг готельного господарства</w:t>
      </w:r>
    </w:p>
    <w:p w:rsidR="00C91FF2" w:rsidRPr="00C91FF2" w:rsidRDefault="00C91FF2" w:rsidP="00C91FF2">
      <w:pPr>
        <w:pStyle w:val="TableParagraph"/>
        <w:tabs>
          <w:tab w:val="left" w:pos="977"/>
          <w:tab w:val="left" w:pos="1565"/>
          <w:tab w:val="left" w:pos="3551"/>
          <w:tab w:val="left" w:pos="4658"/>
        </w:tabs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2. Забезпечення якості надання ресторанних послуг</w:t>
      </w:r>
    </w:p>
    <w:p w:rsidR="00C91FF2" w:rsidRPr="00C91FF2" w:rsidRDefault="00C91FF2" w:rsidP="00C91FF2">
      <w:pPr>
        <w:pStyle w:val="TableParagraph"/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3. Стандарти обслуговування у сфері готельно-ресторанного господарства</w:t>
      </w:r>
    </w:p>
    <w:p w:rsidR="00C91FF2" w:rsidRPr="00C91FF2" w:rsidRDefault="00C91FF2" w:rsidP="00C91FF2">
      <w:pPr>
        <w:pStyle w:val="TableParagraph"/>
        <w:tabs>
          <w:tab w:val="left" w:pos="1200"/>
        </w:tabs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4. Методи оцінювання якості надання послуг ГРГ</w:t>
      </w:r>
    </w:p>
    <w:p w:rsidR="00C91FF2" w:rsidRPr="00C91FF2" w:rsidRDefault="00C91FF2" w:rsidP="00C91FF2">
      <w:pPr>
        <w:pStyle w:val="TableParagraph"/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5. Основні поняття та сутність експертизи послуг ГРГ</w:t>
      </w:r>
    </w:p>
    <w:p w:rsidR="00C91FF2" w:rsidRPr="00C91FF2" w:rsidRDefault="00C91FF2" w:rsidP="00C91FF2">
      <w:pPr>
        <w:pStyle w:val="TableParagraph"/>
        <w:tabs>
          <w:tab w:val="left" w:pos="1370"/>
        </w:tabs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6. Характеристика видів експертизи послуг ГРГ</w:t>
      </w:r>
    </w:p>
    <w:p w:rsidR="00C91FF2" w:rsidRPr="00C91FF2" w:rsidRDefault="00C91FF2" w:rsidP="00C91FF2">
      <w:pPr>
        <w:pStyle w:val="TableParagraph"/>
        <w:tabs>
          <w:tab w:val="left" w:pos="858"/>
          <w:tab w:val="left" w:pos="1328"/>
          <w:tab w:val="left" w:pos="2514"/>
          <w:tab w:val="left" w:pos="3018"/>
          <w:tab w:val="left" w:pos="4246"/>
        </w:tabs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7. Методи та критерії проведення експертизи послуг ГРГ</w:t>
      </w:r>
    </w:p>
    <w:p w:rsidR="00C91FF2" w:rsidRPr="00C91FF2" w:rsidRDefault="00C91FF2" w:rsidP="00C91FF2">
      <w:pPr>
        <w:pStyle w:val="TableParagraph"/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8. Вимоги до проведення експертизи послуг ГРГ</w:t>
      </w:r>
    </w:p>
    <w:p w:rsidR="00C91FF2" w:rsidRPr="00C91FF2" w:rsidRDefault="00C91FF2" w:rsidP="00C91FF2">
      <w:pPr>
        <w:pStyle w:val="TableParagraph"/>
        <w:spacing w:line="276" w:lineRule="auto"/>
        <w:ind w:left="0" w:right="57" w:firstLine="851"/>
        <w:contextualSpacing/>
        <w:rPr>
          <w:kern w:val="28"/>
          <w:sz w:val="28"/>
          <w:szCs w:val="28"/>
        </w:rPr>
      </w:pPr>
      <w:r w:rsidRPr="00C91FF2">
        <w:rPr>
          <w:kern w:val="28"/>
          <w:sz w:val="28"/>
          <w:szCs w:val="28"/>
        </w:rPr>
        <w:t>Тема 9. Кваліфікаційні вимоги до експертів у сфері ГРГ</w:t>
      </w:r>
    </w:p>
    <w:p w:rsidR="00A86D75" w:rsidRPr="00C91FF2" w:rsidRDefault="00C91FF2" w:rsidP="00C91FF2">
      <w:pPr>
        <w:pStyle w:val="a3"/>
        <w:spacing w:before="10" w:line="276" w:lineRule="auto"/>
        <w:ind w:left="0" w:firstLine="851"/>
        <w:sectPr w:rsidR="00A86D75" w:rsidRPr="00C91FF2">
          <w:type w:val="continuous"/>
          <w:pgSz w:w="11910" w:h="16840"/>
          <w:pgMar w:top="820" w:right="720" w:bottom="280" w:left="1160" w:header="708" w:footer="708" w:gutter="0"/>
          <w:cols w:space="720"/>
        </w:sectPr>
      </w:pPr>
      <w:r w:rsidRPr="00C91FF2">
        <w:rPr>
          <w:kern w:val="28"/>
        </w:rPr>
        <w:t xml:space="preserve">Тема 10. Формування </w:t>
      </w:r>
      <w:bookmarkStart w:id="0" w:name="_GoBack"/>
      <w:bookmarkEnd w:id="0"/>
      <w:r w:rsidRPr="00C91FF2">
        <w:rPr>
          <w:kern w:val="28"/>
        </w:rPr>
        <w:t>експертного висновку</w:t>
      </w:r>
    </w:p>
    <w:p w:rsidR="00C91FF2" w:rsidRDefault="00C91FF2" w:rsidP="00C91FF2"/>
    <w:sectPr w:rsidR="00C91FF2" w:rsidSect="003F342A">
      <w:pgSz w:w="11910" w:h="16840"/>
      <w:pgMar w:top="780" w:right="720" w:bottom="280" w:left="1160" w:header="708" w:footer="708" w:gutter="0"/>
      <w:cols w:space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75"/>
    <w:rsid w:val="000D5867"/>
    <w:rsid w:val="000F666D"/>
    <w:rsid w:val="00125F21"/>
    <w:rsid w:val="00156FE0"/>
    <w:rsid w:val="002E745E"/>
    <w:rsid w:val="002F3108"/>
    <w:rsid w:val="0034730D"/>
    <w:rsid w:val="003F342A"/>
    <w:rsid w:val="005A3CE2"/>
    <w:rsid w:val="008215F8"/>
    <w:rsid w:val="009836D0"/>
    <w:rsid w:val="009A65DF"/>
    <w:rsid w:val="00A86D75"/>
    <w:rsid w:val="00AF33CB"/>
    <w:rsid w:val="00B45FD4"/>
    <w:rsid w:val="00C91FF2"/>
    <w:rsid w:val="00DE061F"/>
    <w:rsid w:val="00E449EC"/>
    <w:rsid w:val="00F869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23654-5716-479F-9E10-E6B33E18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10</cp:revision>
  <dcterms:created xsi:type="dcterms:W3CDTF">2024-05-01T21:15:00Z</dcterms:created>
  <dcterms:modified xsi:type="dcterms:W3CDTF">2025-01-20T08:32:00Z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2019</vt:lpwstr>
  </property>
</Properties>
</file>