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Банківське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термінології банківського права; розуміння принципів, методів, функцій та системи банківського права; обізнаність у колі відносин, що регулюється банківським правом; знання джерел банківського права та норм банківського законодавства та банківських звичаїв; розуміння специфіки банківсько-правових інститутів; вміння юридично правильно кваліфікувати факти, що мають місце у банківській практиці; можливість коментувати та тлумачити норми банківського права; уміння складати необхідні документи, в т. ч. договірного характеру.</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Банківська система та банківський нагляд. Банківські рахунки та банківська інформація. Правове регулювання безготівкових розрахунків. Правове регулювання готівкового обігу. Правове регулювання кредитних відносин. Валютне регулювання та валютний контроль. Правове регулювання операцій з цінними паперами та іншими фінансовими активами. Правове регулювання банківських гарантій.</w:t>
        <w:br/>
      </w:r>
    </w:p>
    <w:p>
      <w:pPr>
        <w:pStyle w:val="Normal1"/>
        <w:spacing w:lineRule="auto" w:line="240" w:before="0" w:after="0"/>
        <w:jc w:val="center"/>
        <w:rPr>
          <w:rFonts w:ascii="Times New Roman" w:hAnsi="Times New Roman" w:eastAsia="Times New Roman" w:cs="Times New Roman"/>
          <w:b/>
          <w:b/>
          <w:sz w:val="28"/>
          <w:szCs w:val="28"/>
        </w:rPr>
      </w:pPr>
      <w:r>
        <w:rPr/>
      </w:r>
      <w:r>
        <w:br w:type="page"/>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2"/>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ІТ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основних понять та категорій правової науки у сфері правового регулювання ІТ відносин; Здатність визначати, формулювати проблемами правового регулювання ІТ відносин в Україні, аналізувати нормативно-правовими актами, які регулюють ІТ відносини в Україні; Уміння знаходити, обробляти та аналізувати інформацію з різноманітних джерел; здатність використовувати інформаційно-комунікативні технології; Здатність застосовувати теоретичні положення на практиці, результативно використовувати здобуті знання; Здатність аналізувати та вирішувати практичні кейси в ІТ сфері.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ІТ право як галузь законодавства. Поняття та ознаки правовідносин у цифровому середовищі. Правовий режим веб-сторінки. Правове регулювання надання телекомунікаційних послуг. Електронний документ, електронний підпис. Електронні гроші. Криптовалюта. Комерційні позначення та об’єкти патентного права, які використовуються в мережі Інтернет. Реклама в Інтернеті. Регулювання адміністрування адресного простору мережі Інтернет в Україні. оподаткування сфери ІТ послуг.</w:t>
      </w:r>
    </w:p>
    <w:p>
      <w:pPr>
        <w:pStyle w:val="Normal1"/>
        <w:spacing w:lineRule="auto" w:line="240" w:before="0" w:after="0"/>
        <w:rPr/>
      </w:pPr>
      <w:r>
        <w:rPr/>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center"/>
        <w:rPr>
          <w:rFonts w:ascii="Times New Roman" w:hAnsi="Times New Roman" w:eastAsia="Times New Roman" w:cs="Times New Roman"/>
          <w:b/>
          <w:b/>
          <w:sz w:val="28"/>
          <w:szCs w:val="28"/>
        </w:rPr>
      </w:pPr>
      <w:r>
        <w:rPr/>
      </w:r>
      <w:r>
        <w:br w:type="page"/>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3"/>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Військове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Ключові результати навчання (знання, уміння та інші компетентності): </w:t>
      </w:r>
      <w:r>
        <w:rPr>
          <w:rFonts w:eastAsia="Times New Roman" w:cs="Times New Roman" w:ascii="Times New Roman" w:hAnsi="Times New Roman"/>
          <w:sz w:val="28"/>
          <w:szCs w:val="28"/>
        </w:rPr>
        <w:t>знання законодавства у сфері виконання військового обов’язку, судової практики та міжнародних договорів у сфері військової діяльності держави; розуміння основних принципів правового регулювання відносин щодо військової діяльності держави; розуміння специфіки права пов'язаного з виконанням військового обов'язку, надходженням на військову службу за контрактом, проходженням військової служби, а також статусом військовослужбовців; вміння вільно орієнтуватися у системі норм військового права; орієнтування в основних тенденціях удосконалення та розвитку військового законодавства.</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Поняття та джерела військового права. Організаційно-правові питання захисту України. Правові основи військової безпеки України. Правове становище воєнної (військової) організації держави. Правові форми комплектування військової організації держави. Правові основи військової служби і статус військовослужбовців в Україні. Військовослужбовець як суб'єкт права. Правове регулювання виконання військової служби. Соціально-правовий захист військовослужбовців та юридична відповідальність військовослужбовців. Військові аспекти міжнародного права.</w:t>
      </w:r>
    </w:p>
    <w:p>
      <w:pPr>
        <w:pStyle w:val="Normal1"/>
        <w:spacing w:lineRule="auto" w:line="240" w:before="0" w:after="0"/>
        <w:rPr/>
      </w:pPr>
      <w:r>
        <w:rPr/>
      </w:r>
    </w:p>
    <w:p>
      <w:pPr>
        <w:pStyle w:val="Normal1"/>
        <w:spacing w:lineRule="auto" w:line="240" w:before="0" w:after="0"/>
        <w:jc w:val="center"/>
        <w:rPr>
          <w:rFonts w:ascii="Times New Roman" w:hAnsi="Times New Roman" w:eastAsia="Times New Roman" w:cs="Times New Roman"/>
          <w:b/>
          <w:b/>
          <w:sz w:val="28"/>
          <w:szCs w:val="28"/>
        </w:rPr>
      </w:pPr>
      <w:r>
        <w:rPr/>
      </w:r>
      <w:r>
        <w:br w:type="page"/>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4"/>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Гендерна рівність та права жінок</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чинного міжнародного та національного законодавства, судової практики у сфері забезпечення гендерної рівності; розуміння основних принципів гендерної рівності та забезпечення прав жінок; уміння аналізувати і тлумачити чинне законодавство у сфері забезпечення гендерної рівності; орієнтування в основних тенденціях удосконалення  законодавства у сфері гендерної рівності з метою подолання дискримінації.</w:t>
      </w:r>
    </w:p>
    <w:p>
      <w:pPr>
        <w:pStyle w:val="Normal1"/>
        <w:spacing w:lineRule="auto" w:line="240" w:before="0" w:after="0"/>
        <w:ind w:firstLine="700"/>
        <w:jc w:val="both"/>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Гендерна рівність та фемінізм: поняття, розвиток та вплив на законодавство та права людини. Феміністська теорія права: основні підходи та її значення для розвитку права. Фемінізм у міжнародному праві. Міжнародно-правовий захист прав жінок у світлі феміністської теорії. Міжнародне право як кар’єра для жінки: труднощі та можливості. “Гендерна чутливість проти гендерної сліпоти” і природа гендерного насильства. Правові механізми боротьби з гендерним насильством. Гендерна рівність у медіа. Видимість, адвокаційні компанії з прав жінок, вплив медійної картинки на правосуддя. Професійна етика, експертна відповідальність, правозахисний фокус. Протидія сексизму. Механізми оскарження сексистських висловлювань публічних осіб. Сексистська реклама. Поняття гендерної дискримінації за національним та міжнародним правом. Дискримінація за ознакою статі - міжнародні норми та норми національного законодавства. Форми гендерної дискримінації та їх ідентифікація.</w:t>
      </w:r>
      <w:r>
        <w:br w:type="page"/>
      </w:r>
    </w:p>
    <w:p>
      <w:pPr>
        <w:pStyle w:val="Normal1"/>
        <w:spacing w:lineRule="auto" w:line="240" w:before="0" w:after="0"/>
        <w:ind w:firstLine="70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5"/>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 інтелектуальної власності</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науково-теоретичні та практичні положення про інтелектуальну власність; особливості правового регулювання суспільних відносин у сфері охорони інтелектуальної власності; основні міжнародно-правові акти; норми чинного законодавства України, що регулюють правовідносини у сфері інтелектуальної власності,  порядок застосування вищевказаних норм законодавства України правовий захист майнових і немайнових прав на об’єкти права інтелектуальної власності; спеціальну науково-методичну та іншу юридичну літературу; правильно визначати види, об’єкти і суб’єкти інтелектуальної власності; визначати порядок захисту порушених майнових та особистих немайнових прав інтелектуальної власності; володіти знаннями з правил оформлення прав на об’єкти інтелектуальної власності; визначати істотні умови необхідні для укладення договорів у сфері інтелектуальної власності.</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Загальні положення про право інтелектуальної власності. Авторське право. Суміжні права. Право промислової власності. Правові засоби індивідуалізації учасників  цивільного обороту. Нетрадиційні результати інтелектуальної власності Оформлення прав інтелектуальної власності на об’єкти інтелектуальної власності. Договори у сфері інтелектуальної власності.</w:t>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center"/>
        <w:rPr>
          <w:rFonts w:ascii="Times New Roman" w:hAnsi="Times New Roman" w:eastAsia="Times New Roman" w:cs="Times New Roman"/>
          <w:b/>
          <w:b/>
          <w:sz w:val="28"/>
          <w:szCs w:val="28"/>
        </w:rPr>
      </w:pPr>
      <w:r>
        <w:rPr/>
      </w:r>
      <w:r>
        <w:br w:type="page"/>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6"/>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Митне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володіння основами митного права; систематизація  джерела вітчизняного та міжнародного митного права; аналіз структури та повноважень митних органів; оцінка здійснення митного контролю та митного оформлення; уміння охарактеризувати принципи регулювання зовнішньоекономічної діяльності, у тому числі міжнародні; уміння визначати порядок здійснення митних формальностей; здатність робити висновки щодо повноважень посадових осіб митниць в сфері правоохоронної діяльності та  порядку провадження в справах про порушення митних правил; знання основ міжнародного співробітництва щодо припинення незаконного обігу окремих предметів, товарів та речовин.</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Основні засади митної справи. Митний контроль. Митне оформлення товарів Тарифне регулювання. Митні платежі.</w:t>
        <w:tab/>
        <w:t xml:space="preserve"> Нетарифне регулювання зовнішньоекономічної діяльності. Пропуск товарів та транспортних засобів через митний кордон. Особливості пропуску товарів громадян та пільги. Правоохоронна діяльність митних органів. Порушення митних правил. Провадження у справах про порушення митних правил. Міжнародне митне право. Спрощення та гармонізація митних процедур. Міжнародне співробітництво. Протидія митному шахрайству.</w:t>
      </w:r>
    </w:p>
    <w:p>
      <w:pPr>
        <w:pStyle w:val="Normal1"/>
        <w:spacing w:lineRule="auto" w:line="240" w:before="0" w:after="0"/>
        <w:rPr/>
      </w:pPr>
      <w:r>
        <w:rPr/>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hanging="0"/>
        <w:jc w:val="both"/>
        <w:rPr>
          <w:rFonts w:ascii="Times New Roman" w:hAnsi="Times New Roman" w:eastAsia="Times New Roman" w:cs="Times New Roman"/>
          <w:b/>
          <w:b/>
          <w:sz w:val="28"/>
          <w:szCs w:val="28"/>
        </w:rPr>
      </w:pPr>
      <w:r>
        <w:rPr/>
      </w:r>
      <w:r>
        <w:br w:type="page"/>
      </w:r>
    </w:p>
    <w:p>
      <w:pPr>
        <w:pStyle w:val="Normal1"/>
        <w:spacing w:lineRule="auto" w:line="240" w:before="0" w:after="0"/>
        <w:ind w:hanging="0"/>
        <w:jc w:val="both"/>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7"/>
        <w:tblW w:w="9025" w:type="dxa"/>
        <w:jc w:val="left"/>
        <w:tblInd w:w="0" w:type="dxa"/>
        <w:tblCellMar>
          <w:top w:w="0" w:type="dxa"/>
          <w:left w:w="100" w:type="dxa"/>
          <w:bottom w:w="0" w:type="dxa"/>
          <w:right w:w="100" w:type="dxa"/>
        </w:tblCellMar>
        <w:tblLook w:val="0600"/>
      </w:tblPr>
      <w:tblGrid>
        <w:gridCol w:w="4802"/>
        <w:gridCol w:w="4222"/>
      </w:tblGrid>
      <w:tr>
        <w:trPr>
          <w:trHeight w:val="345" w:hRule="atLeast"/>
        </w:trPr>
        <w:tc>
          <w:tcPr>
            <w:tcW w:w="4802"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22"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право</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100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Навчально-методичні матеріали, сайти електронного навчання Moodle</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802"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22"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таких категорій, як: поняття інформації у праві, її види та особливості; роль інформаційного права в сучасному інформаційному суспільстві; уміння застосувати теоретичні і правові основи правової охорони права на інформацію в Україні; розуміння системи органів управління у сфері інформаційних правовідносин; знання особливостей правового регулювання окремих інститутів інформаційного права, таких, як державна таємниця, інформаційна безпека, засоби масової інформації, персональні дані та ін.; тлумачення та застосовування чинного законодавства України, що регулює інформаційні правовідносини, інформаційну відповідальність; розуміння змісту нормативно-правових актів та використовувати їх на практиці; уміння висловити власну правову позицію з використанням посилань на нормативні акти</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Поняття інформаційного права як галузі права. Предмет та метод правового регулювання. Інформаційні правовідносини в Україні. Поняття інформації, як об’єкту інформаційних правовідносин. Права людини в сфері інформаційних правовідносин. Особливості доступу до інформації. Інформаційна безпека. Правові основи діяльності засобів масової інформації в Україні. Правове регулювання інформаційних правовідносин в мережі «Інтернет». Правове регулювання інституту державної таємниці в Україні. Інститут захисту персональних даних Поняття та види юридичної відповідальності в інформаційному праві. Поняття та особливості інформаційних правопорушень.</w:t>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8"/>
        <w:tblW w:w="8895" w:type="dxa"/>
        <w:jc w:val="left"/>
        <w:tblInd w:w="0" w:type="dxa"/>
        <w:tblCellMar>
          <w:top w:w="0" w:type="dxa"/>
          <w:left w:w="100" w:type="dxa"/>
          <w:bottom w:w="0" w:type="dxa"/>
          <w:right w:w="100" w:type="dxa"/>
        </w:tblCellMar>
        <w:tblLook w:val="0600"/>
      </w:tblPr>
      <w:tblGrid>
        <w:gridCol w:w="4694"/>
        <w:gridCol w:w="4200"/>
      </w:tblGrid>
      <w:tr>
        <w:trPr>
          <w:trHeight w:val="345" w:hRule="atLeast"/>
        </w:trPr>
        <w:tc>
          <w:tcPr>
            <w:tcW w:w="4694"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00"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Адміністративно-деліктне право</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67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Здатність до вирішення професійних завдань діяльності, пов’язаних з правильним застосовуванням нормативно адміністративно-процесуальних актів до конкретних правових ситуацій при виконанні службових обов’язків, ефективністю забезпеченням прав і свобод людини і громадянина під час роботи та мати такі основні загальнокультурні та професійні компетенції; вміти кваліфікувати конкретні адміністративні правопорушення; визначати підвідомчість окремих адміністративних проступків; правильно застосовувати заходи забезпечення провадження в справах про адміністративні правопорушення; складати відповідні адміністративно-процесуальні документи, зокрема протокол про адміністративне правопорушення; визначати роль органів місцевого самоврядування та місцевих органів виконавчої влади щодо встановлення адміністративної відповідальності та здійснення провадження в справах про адміністративні правопорушення.</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Адміністративне правопорушення та його склад. Поняття та види адміністративних стягнень. Особливості та характеристика окремих видів адміністративних правопорушень. Провадження у справах про адміністративні правопорушення. Виконання рішень у справах про адміністративні правопорушення.</w:t>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center"/>
        <w:rPr>
          <w:rFonts w:ascii="Times New Roman" w:hAnsi="Times New Roman" w:eastAsia="Times New Roman" w:cs="Times New Roman"/>
          <w:b/>
          <w:b/>
          <w:sz w:val="28"/>
          <w:szCs w:val="28"/>
        </w:rPr>
      </w:pPr>
      <w:r>
        <w:rPr/>
      </w:r>
      <w:r>
        <w:br w:type="page"/>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9"/>
        <w:tblW w:w="8895" w:type="dxa"/>
        <w:jc w:val="left"/>
        <w:tblInd w:w="0" w:type="dxa"/>
        <w:tblCellMar>
          <w:top w:w="0" w:type="dxa"/>
          <w:left w:w="100" w:type="dxa"/>
          <w:bottom w:w="0" w:type="dxa"/>
          <w:right w:w="100" w:type="dxa"/>
        </w:tblCellMar>
        <w:tblLook w:val="0600"/>
      </w:tblPr>
      <w:tblGrid>
        <w:gridCol w:w="4694"/>
        <w:gridCol w:w="4200"/>
      </w:tblGrid>
      <w:tr>
        <w:trPr>
          <w:trHeight w:val="345" w:hRule="atLeast"/>
        </w:trPr>
        <w:tc>
          <w:tcPr>
            <w:tcW w:w="4694"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00"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Виконавче провадження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67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Володіти навичками публічних виступів, дискусій, проведення занять. Вміти розробляти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Використовувати знання та вміння для надання кваліфікованих юридичних висновків й консультацій в конкретних сферах юридичної діяльності. Здійснювати наукові дослідження в галузі правоохоронної діяльності. Вміти використовувати, для професійної діяльності, наявні та доступні інформаційні бази даних, вміти критично аналізувати інформацію, що міститься в них та оцінювати її.</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Загальна характеристика виконавчого провадження. Поняття, зміст та юридичний аналіз виконавчих документів. Поняття та особливості виконавчого провадження, відмінність між добровільним та примусовим виконанням. Система виконавчого провадження. Органи та посадові особи, уповноважені на примусове виконання рішень уповноважених органів. Правовий статус, права та обов’язки органів Державної виконавчої служби. Правовий статус та компетенція приватних виконавців. Особливості звернення стягнення на майно боржників. Порядок звернення стягнень немайнового характеру. Особливості взаємодії учасників під час виконавчого провадження. Відповідальність у виконавчому провадженні.</w:t>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rPr/>
      </w:pPr>
      <w:r>
        <w:rPr>
          <w:rFonts w:eastAsia="Times New Roman" w:cs="Times New Roman" w:ascii="Times New Roman" w:hAnsi="Times New Roman"/>
          <w:sz w:val="28"/>
          <w:szCs w:val="28"/>
        </w:rPr>
        <w:t xml:space="preserve"> </w:t>
      </w:r>
      <w:r>
        <w:br w:type="page"/>
      </w:r>
    </w:p>
    <w:p>
      <w:pPr>
        <w:pStyle w:val="Normal1"/>
        <w:spacing w:lineRule="auto" w:line="240" w:before="0" w:after="0"/>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0"/>
        <w:tblW w:w="8895" w:type="dxa"/>
        <w:jc w:val="left"/>
        <w:tblInd w:w="0" w:type="dxa"/>
        <w:tblCellMar>
          <w:top w:w="0" w:type="dxa"/>
          <w:left w:w="100" w:type="dxa"/>
          <w:bottom w:w="0" w:type="dxa"/>
          <w:right w:w="100" w:type="dxa"/>
        </w:tblCellMar>
        <w:tblLook w:val="0600"/>
      </w:tblPr>
      <w:tblGrid>
        <w:gridCol w:w="4694"/>
        <w:gridCol w:w="4200"/>
      </w:tblGrid>
      <w:tr>
        <w:trPr>
          <w:trHeight w:val="345" w:hRule="atLeast"/>
        </w:trPr>
        <w:tc>
          <w:tcPr>
            <w:tcW w:w="4694"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00"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Юридична аргументація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67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Ключові результати навчання (знання, уміння та інші компетентності): </w:t>
      </w:r>
      <w:r>
        <w:rPr>
          <w:rFonts w:eastAsia="Times New Roman" w:cs="Times New Roman" w:ascii="Times New Roman" w:hAnsi="Times New Roman"/>
          <w:sz w:val="28"/>
          <w:szCs w:val="28"/>
        </w:rPr>
        <w:t>володіти основними прийомами юридичної аргументації; вміти верифікувати факти та визначати з-поміж них такі, які мають істотне значення для вирішення певної юридичної проблеми чи підготовки юридичного матеріалу; здійснювати аналіз юридичного матеріалу відповідно до фактів, що мають істотне значення, на засадах моральної цілісності (доброчесності) та синтезувати обґрунтовані висновки; вміння наводити аргументи правового характеру, брати участь у дискусіях та набуття навичок реагування на особливості ходу юридичних процедур з питань право; вміти поєднувати різні інструменти юридичної аргументації та тлумачення права, формувати цілісний і завершений юридичний документ і наводити аргументовану позицію у дискусії.</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Роль і значення юридичної аргументації у правознавстві, Основні підходи в юридичній аргументації, Мова і стиль права та значення для юридичної аргументації, Структура юридичної аргументації, Інструменти юридичної аргументації, Тлумачення права та юридична аргументація, Риторика та юридична аргументація, Юридична аргументація у різних сферах правничої діяльності.</w:t>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center"/>
        <w:rPr>
          <w:rFonts w:ascii="Times New Roman" w:hAnsi="Times New Roman" w:eastAsia="Times New Roman" w:cs="Times New Roman"/>
          <w:b/>
          <w:b/>
          <w:sz w:val="28"/>
          <w:szCs w:val="28"/>
        </w:rPr>
      </w:pPr>
      <w:r>
        <w:rPr/>
      </w:r>
      <w:r>
        <w:br w:type="page"/>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1"/>
        <w:tblW w:w="8895" w:type="dxa"/>
        <w:jc w:val="left"/>
        <w:tblInd w:w="0" w:type="dxa"/>
        <w:tblCellMar>
          <w:top w:w="0" w:type="dxa"/>
          <w:left w:w="100" w:type="dxa"/>
          <w:bottom w:w="0" w:type="dxa"/>
          <w:right w:w="100" w:type="dxa"/>
        </w:tblCellMar>
        <w:tblLook w:val="0600"/>
      </w:tblPr>
      <w:tblGrid>
        <w:gridCol w:w="4694"/>
        <w:gridCol w:w="4200"/>
      </w:tblGrid>
      <w:tr>
        <w:trPr>
          <w:trHeight w:val="675" w:hRule="atLeast"/>
        </w:trPr>
        <w:tc>
          <w:tcPr>
            <w:tcW w:w="4694"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00"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Адміністративно-процедурне право</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67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Ключові результати навчання (знання, уміння та інші компетентності): </w:t>
      </w:r>
      <w:r>
        <w:rPr>
          <w:rFonts w:eastAsia="Times New Roman" w:cs="Times New Roman" w:ascii="Times New Roman" w:hAnsi="Times New Roman"/>
          <w:sz w:val="28"/>
          <w:szCs w:val="28"/>
        </w:rPr>
        <w:t>здатність до аналізу та синтезу інформації та правових проблем, що стосується реалізації адміністративних процедур; здатність до пошуку, оброблення та аналізу інформації з різних джерел (доктринальних, нормативних, правозастосовних); креативність та здатність продукувати нові думки та ідеї стосовно організації та правового регулювання здійснення адміністративного провадження; здатність застосовувати знання у практичній юридичній діяльності, вести діалоги й аргументувати під час наукових і ділових дискусій; здатність здійснювати аналіз законодавчих та підзаконних актів.</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Сучасне трактування адміністративно-процедурного права: теоретичний та нормативні аспекти. Законодавство про адміністративну процедуру. Тема 3. Принципи адміністративної процедури. Адміністративний акт. Учасники адміністративної процедури. Стадії адміністративної процедури. Доказування в адміністративній процедурі. Адміністративні процедури та публічна служба. Адміністративно-сервісна процедура. Реєстраційні адміністративні процедури. Ліцензійні адміністративні процедури. Контрольні адміністративні процедури. Процедура адміністративного оскарження.</w:t>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jc w:val="center"/>
        <w:rPr>
          <w:rFonts w:ascii="Times New Roman" w:hAnsi="Times New Roman" w:eastAsia="Times New Roman" w:cs="Times New Roman"/>
          <w:b/>
          <w:b/>
          <w:sz w:val="28"/>
          <w:szCs w:val="28"/>
        </w:rPr>
      </w:pPr>
      <w:r>
        <w:rPr/>
      </w:r>
      <w:r>
        <w:br w:type="page"/>
      </w:r>
    </w:p>
    <w:p>
      <w:pPr>
        <w:pStyle w:val="Normal1"/>
        <w:spacing w:lineRule="auto" w:line="240" w:before="0" w:after="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2"/>
        <w:tblW w:w="8895" w:type="dxa"/>
        <w:jc w:val="left"/>
        <w:tblInd w:w="0" w:type="dxa"/>
        <w:tblCellMar>
          <w:top w:w="0" w:type="dxa"/>
          <w:left w:w="100" w:type="dxa"/>
          <w:bottom w:w="0" w:type="dxa"/>
          <w:right w:w="100" w:type="dxa"/>
        </w:tblCellMar>
        <w:tblLook w:val="0600"/>
      </w:tblPr>
      <w:tblGrid>
        <w:gridCol w:w="4694"/>
        <w:gridCol w:w="4200"/>
      </w:tblGrid>
      <w:tr>
        <w:trPr>
          <w:trHeight w:val="345" w:hRule="atLeast"/>
        </w:trPr>
        <w:tc>
          <w:tcPr>
            <w:tcW w:w="4694"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00" w:type="dxa"/>
            <w:tcBorders>
              <w:top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Вирішення виборчих спорів</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67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00" w:type="dxa"/>
            <w:tcBorders>
              <w:bottom w:val="single" w:sz="6" w:space="0" w:color="000000"/>
              <w:right w:val="single" w:sz="6" w:space="0" w:color="000000"/>
            </w:tcBorders>
            <w:shd w:fill="auto" w:val="clear"/>
          </w:tcPr>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Ключові результати навчання (знання, уміння та інші компетентності): </w:t>
      </w:r>
      <w:r>
        <w:rPr>
          <w:rFonts w:eastAsia="Times New Roman" w:cs="Times New Roman" w:ascii="Times New Roman" w:hAnsi="Times New Roman"/>
          <w:sz w:val="28"/>
          <w:szCs w:val="28"/>
        </w:rPr>
        <w:t>формування у студентів високого рівня предметних компетентностей у сфері вирішення виборчих спорів.</w:t>
      </w:r>
      <w:r>
        <w:rPr/>
        <w:t xml:space="preserve"> </w:t>
      </w:r>
      <w:r>
        <w:rPr>
          <w:rFonts w:eastAsia="Times New Roman" w:cs="Times New Roman" w:ascii="Times New Roman" w:hAnsi="Times New Roman"/>
          <w:sz w:val="28"/>
          <w:szCs w:val="28"/>
        </w:rPr>
        <w:t>Завданнями вивчення навчальної дисципліни, відповідно до її знаннєвої і дидактичної структури, є набуття нових та поглиблення здобутих під час навчання теоретичних знань, формування практичних вмінь і навичок щодо ефективного вирішення виборчих спорів, відповідно до принципів права, кращих міжнародних практик та з урахуванням специфіки національного законодавства.</w:t>
      </w:r>
    </w:p>
    <w:p>
      <w:pPr>
        <w:pStyle w:val="Normal1"/>
        <w:spacing w:lineRule="auto" w:line="240"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Короткий зміст дисципліни (що буде вивчатися, перелік тем): </w:t>
      </w:r>
      <w:r>
        <w:rPr>
          <w:rFonts w:eastAsia="Times New Roman" w:cs="Times New Roman" w:ascii="Times New Roman" w:hAnsi="Times New Roman"/>
          <w:sz w:val="28"/>
          <w:szCs w:val="28"/>
        </w:rPr>
        <w:t>Вступ до навчальної дисципліни з вирішення виборчих спорів. Виборче право: загальна характеристика. Запобігання виникненню виборчих спорів. Система органів ВВС та їх компетенція. Характеристика різних видів ВС. Виборчий процес: поняття, засади, суб'єкти та етапи. ВВС у порядку адміністративного судочинства. Кримінальні правопорушення: розслідування та судовий розгляд. Адміністративні правопорушення: складання протоколів та судовий розгляд. Позасудові механізми ВВС.</w:t>
      </w:r>
    </w:p>
    <w:p>
      <w:pPr>
        <w:pStyle w:val="Normal1"/>
        <w:spacing w:lineRule="auto" w:line="240"/>
        <w:jc w:val="center"/>
        <w:rPr>
          <w:rFonts w:ascii="Times New Roman" w:hAnsi="Times New Roman" w:eastAsia="Times New Roman" w:cs="Times New Roman"/>
          <w:b/>
          <w:b/>
          <w:sz w:val="28"/>
          <w:szCs w:val="28"/>
        </w:rPr>
      </w:pPr>
      <w:r>
        <w:rPr/>
      </w:r>
      <w:r>
        <w:br w:type="page"/>
      </w:r>
    </w:p>
    <w:p>
      <w:pPr>
        <w:pStyle w:val="Normal1"/>
        <w:spacing w:lineRule="auto" w:line="24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3"/>
        <w:tblW w:w="8895" w:type="dxa"/>
        <w:jc w:val="left"/>
        <w:tblInd w:w="0" w:type="dxa"/>
        <w:tblCellMar>
          <w:top w:w="0" w:type="dxa"/>
          <w:left w:w="100" w:type="dxa"/>
          <w:bottom w:w="0" w:type="dxa"/>
          <w:right w:w="100" w:type="dxa"/>
        </w:tblCellMar>
        <w:tblLook w:val="0600"/>
      </w:tblPr>
      <w:tblGrid>
        <w:gridCol w:w="4694"/>
        <w:gridCol w:w="4200"/>
      </w:tblGrid>
      <w:tr>
        <w:trPr>
          <w:trHeight w:val="345" w:hRule="atLeast"/>
        </w:trPr>
        <w:tc>
          <w:tcPr>
            <w:tcW w:w="4694"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00" w:type="dxa"/>
            <w:tcBorders>
              <w:top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Адміністративна юстиція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67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та розуміння предметної галузі, професії; основних концепцій, базових категорій, юридичних понять; здатність до безперервного та активного навчання, самоосвіти, постійного підвищення кваліфікаціі; здатність діяти з урахуванням соціальної відповідальності та громадянських зобов’язань, з повагою ставитися до права й закону; здатність брати участь у розробці нормативно-правових актів; здатність здійснювати професійну діяльність у повній відповідності до закону; здатність тлумачити нормативно-правові акти, надавати кваліфіковані юридичні висновки і консультації.</w:t>
      </w:r>
    </w:p>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Завдання, принципи, форми адміністративного судочинства. Адміністративна юрисдикція. Суд і учасники судового процесу. Докази та доказування. Звернення до адміністративного суду. Провадження в суді першої інстанції. Судові рішення в адміністративних справах. Перегляд судового рішення в адміністративній справі. Особливості позовного провадження в окремих категоріях адміністративних справ.</w:t>
      </w:r>
      <w:r>
        <w:br w:type="page"/>
      </w:r>
    </w:p>
    <w:p>
      <w:pPr>
        <w:pStyle w:val="Normal1"/>
        <w:spacing w:lineRule="auto" w:line="240"/>
        <w:jc w:val="center"/>
        <w:rPr/>
      </w:pPr>
      <w:r>
        <w:rPr>
          <w:rFonts w:eastAsia="Times New Roman" w:cs="Times New Roman" w:ascii="Times New Roman" w:hAnsi="Times New Roman"/>
          <w:b/>
          <w:sz w:val="28"/>
          <w:szCs w:val="28"/>
        </w:rPr>
        <w:t>Інформація про вибіркову дисципліну кафедрального каталогу кафедри адміністративного, фінансового та інформаційного права</w:t>
      </w:r>
    </w:p>
    <w:tbl>
      <w:tblPr>
        <w:tblStyle w:val="Table14"/>
        <w:tblW w:w="8895" w:type="dxa"/>
        <w:jc w:val="left"/>
        <w:tblInd w:w="0" w:type="dxa"/>
        <w:tblCellMar>
          <w:top w:w="0" w:type="dxa"/>
          <w:left w:w="100" w:type="dxa"/>
          <w:bottom w:w="0" w:type="dxa"/>
          <w:right w:w="100" w:type="dxa"/>
        </w:tblCellMar>
        <w:tblLook w:val="0600"/>
      </w:tblPr>
      <w:tblGrid>
        <w:gridCol w:w="4694"/>
        <w:gridCol w:w="4200"/>
      </w:tblGrid>
      <w:tr>
        <w:trPr>
          <w:trHeight w:val="345" w:hRule="atLeast"/>
        </w:trPr>
        <w:tc>
          <w:tcPr>
            <w:tcW w:w="4694" w:type="dxa"/>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Назва дисципліни</w:t>
            </w:r>
          </w:p>
        </w:tc>
        <w:tc>
          <w:tcPr>
            <w:tcW w:w="4200" w:type="dxa"/>
            <w:tcBorders>
              <w:top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Податкове право ЄС</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Рівень вищої освіти</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другий (магістерський)</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Курс (рік) навчання</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Семестр</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Обсяг дисципліни у кредитах</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кредити</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Мова викладання</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Українська</w:t>
            </w:r>
          </w:p>
        </w:tc>
      </w:tr>
      <w:tr>
        <w:trPr>
          <w:trHeight w:val="67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Передумови для вивчення дисципліни</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tc>
      </w:tr>
      <w:tr>
        <w:trPr>
          <w:trHeight w:val="100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яка забезпечує викладання дисципліни</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Кафедра адміністративного, фінансового та інформаційного права</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Інформаційне забезпечення</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проведення занять</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Лекції, практичні заняття</w:t>
            </w:r>
          </w:p>
        </w:tc>
      </w:tr>
      <w:tr>
        <w:trPr>
          <w:trHeight w:val="345" w:hRule="atLeast"/>
        </w:trPr>
        <w:tc>
          <w:tcPr>
            <w:tcW w:w="4694" w:type="dxa"/>
            <w:tcBorders>
              <w:left w:val="single" w:sz="6" w:space="0" w:color="000000"/>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Форма семестрового контролю</w:t>
            </w:r>
          </w:p>
        </w:tc>
        <w:tc>
          <w:tcPr>
            <w:tcW w:w="4200" w:type="dxa"/>
            <w:tcBorders>
              <w:bottom w:val="single" w:sz="6" w:space="0" w:color="000000"/>
              <w:right w:val="single" w:sz="6" w:space="0" w:color="000000"/>
            </w:tcBorders>
            <w:shd w:fill="auto" w:val="clear"/>
          </w:tcPr>
          <w:p>
            <w:pPr>
              <w:pStyle w:val="Normal1"/>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залік</w:t>
            </w:r>
          </w:p>
        </w:tc>
      </w:tr>
    </w:tbl>
    <w:p>
      <w:pPr>
        <w:pStyle w:val="Normal1"/>
        <w:spacing w:lineRule="auto" w:line="24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Ключові результати навчання (знання, уміння та інші компетентності):</w:t>
      </w:r>
      <w:r>
        <w:rPr>
          <w:rFonts w:eastAsia="Times New Roman" w:cs="Times New Roman" w:ascii="Times New Roman" w:hAnsi="Times New Roman"/>
          <w:sz w:val="28"/>
          <w:szCs w:val="28"/>
        </w:rPr>
        <w:t xml:space="preserve"> знання правової природи, принципів і джерел податкового права ЄС; розуміння взаємодії податкових систем держав-членів з правом Європейського Союзу; здатність аналізувати нормативно-правові акти ЄС у сфері оподаткування та їх імплементацію на національному рівні; здатність виявляти конфлікти між національним і європейським податковим регулюванням та пропонувати шляхи їх вирішення; знання рішень Суду ЄС у сфері податкового права, здатність їх тлумачити та застосовувати в юридичній практиці; розуміння механізмів боротьби з податковими зловживаннями, уникненням оподаткування та гармонізації податкової політики в межах ЄС.</w:t>
      </w:r>
    </w:p>
    <w:p>
      <w:pPr>
        <w:pStyle w:val="Normal1"/>
        <w:spacing w:lineRule="auto" w:line="240"/>
        <w:jc w:val="both"/>
        <w:rPr/>
      </w:pPr>
      <w:r>
        <w:rPr>
          <w:rFonts w:eastAsia="Times New Roman" w:cs="Times New Roman" w:ascii="Times New Roman" w:hAnsi="Times New Roman"/>
          <w:b/>
          <w:sz w:val="28"/>
          <w:szCs w:val="28"/>
        </w:rPr>
        <w:t>Короткий зміст дисципліни (що буде вивчатися, перелік тем):</w:t>
      </w:r>
      <w:r>
        <w:rPr>
          <w:rFonts w:eastAsia="Times New Roman" w:cs="Times New Roman" w:ascii="Times New Roman" w:hAnsi="Times New Roman"/>
          <w:sz w:val="28"/>
          <w:szCs w:val="28"/>
        </w:rPr>
        <w:t xml:space="preserve">  Правова природа податкового права ЄС: предмет, принципи, джерела; Розмежування податкових повноважень між Європейським Союзом та державами-членами; Податковий суверенітет та обмеження, що випливають із первинного та вторинного права ЄС; Пряма та непряма гармонізація податків у ЄС; Акцизні збори та їх гармонізація в ЄС; Проблематика корпоративного оподаткування в ЄС: Спільна консолідована база оподаткування підприємств (CCCTB); Податкова політика ЄС щодо уникнення подвійного оподаткування; Внутрішній ринок і податкові свободи: свобода руху капіталу, послуг та осіб у контексті оподаткування.</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uk"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uk"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Liberation Sans" w:hAnsi="Liberation Sans"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w:rPr>
  </w:style>
  <w:style w:type="paragraph" w:styleId="Style11">
    <w:name w:val="Caption"/>
    <w:basedOn w:val="Normal"/>
    <w:qFormat/>
    <w:pPr>
      <w:suppressLineNumbers/>
      <w:spacing w:before="120" w:after="120"/>
    </w:pPr>
    <w:rPr>
      <w:rFonts w:cs="Arial"/>
      <w:i/>
      <w:iCs/>
      <w:sz w:val="24"/>
      <w:szCs w:val="24"/>
    </w:rPr>
  </w:style>
  <w:style w:type="paragraph" w:styleId="Style12">
    <w:name w:val="Указатель"/>
    <w:basedOn w:val="Normal"/>
    <w:qFormat/>
    <w:pPr>
      <w:suppressLineNumbers/>
    </w:pPr>
    <w:rPr>
      <w:rFonts w:cs="Arial"/>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uk"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LibreOffice/6.3.2.2$Windows_X86_64 LibreOffice_project/98b30e735bda24bc04ab42594c85f7fd8be07b9c</Application>
  <Pages>14</Pages>
  <Words>2980</Words>
  <Characters>23190</Characters>
  <CharactersWithSpaces>25867</CharactersWithSpaces>
  <Paragraphs>370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2025-08-24T10:51:19Z</dcterms:modified>
  <cp:revision>1</cp:revision>
  <dc:subject/>
  <dc:title/>
</cp:coreProperties>
</file>