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83EE9BA" w14:textId="77777777" w:rsidR="00D87598" w:rsidRDefault="00D87598" w:rsidP="00D8759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099515F" w14:textId="77777777" w:rsidR="00D87598" w:rsidRDefault="00D87598" w:rsidP="00D8759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4D38A51" w14:textId="77777777" w:rsidR="00D87598" w:rsidRDefault="00D87598" w:rsidP="00D8759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526E3957" w14:textId="77777777" w:rsidR="00D87598" w:rsidRDefault="00D87598" w:rsidP="00D8759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699A985E" w14:textId="77777777" w:rsidR="00D87598" w:rsidRDefault="00D87598" w:rsidP="00D8759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6AD43F37" w14:textId="77777777" w:rsidR="00D87598" w:rsidRDefault="00D87598" w:rsidP="00D8759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B89FE7D" w14:textId="77777777" w:rsidR="00D87598" w:rsidRDefault="00D87598" w:rsidP="00D8759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F4F5A0" w14:textId="77777777" w:rsidR="00D87598" w:rsidRDefault="00D87598" w:rsidP="00D8759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B7FCA79" w14:textId="77777777" w:rsidR="00D87598" w:rsidRDefault="00D87598" w:rsidP="00D8759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735D2FD" w14:textId="77777777" w:rsidR="00F61F97" w:rsidRPr="00F61F97" w:rsidRDefault="00F61F97" w:rsidP="00F61F9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F61F97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«</w:t>
      </w:r>
      <w:r w:rsidRPr="00F61F97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 xml:space="preserve">Консультація пацієнтки 16 років з приводу </w:t>
      </w:r>
      <w:r w:rsidRPr="00F61F9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гігієни порожнини рота: індивідуальне гігієнічне навчання та призначення засобів гігієни порожнини рота»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1656E9E" w:rsidR="00532372" w:rsidRPr="001836E4" w:rsidRDefault="00532372" w:rsidP="00F61F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F61F97" w:rsidRPr="00F61F97">
        <w:rPr>
          <w:rFonts w:ascii="Times New Roman" w:hAnsi="Times New Roman"/>
          <w:b/>
          <w:sz w:val="28"/>
          <w:szCs w:val="28"/>
          <w:lang w:val="uk-UA"/>
        </w:rPr>
        <w:t>«</w:t>
      </w:r>
      <w:r w:rsidR="00F61F97" w:rsidRPr="00F61F97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Консультація пацієнтки 16 років з приводу </w:t>
      </w:r>
      <w:r w:rsidR="00F61F97" w:rsidRPr="00F61F97">
        <w:rPr>
          <w:rFonts w:ascii="Times New Roman" w:hAnsi="Times New Roman"/>
          <w:b/>
          <w:sz w:val="28"/>
          <w:szCs w:val="28"/>
          <w:lang w:val="uk-UA"/>
        </w:rPr>
        <w:t>гігієни порожнини рота: індивідуальне гігієнічне навчання та призначення засобів гігієни порожнини рота»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A35853" w14:textId="77777777" w:rsidR="00F61F97" w:rsidRPr="00F61F97" w:rsidRDefault="00F61F97" w:rsidP="00F61F97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61F97">
        <w:rPr>
          <w:rFonts w:ascii="Times New Roman" w:hAnsi="Times New Roman"/>
          <w:i/>
          <w:sz w:val="28"/>
          <w:szCs w:val="28"/>
          <w:lang w:val="uk-UA"/>
        </w:rPr>
        <w:t>Алгоритм роботи на станції при демонструванні вміння проведення індивідуального гігієнічного навчання та призначення засобів гігієни порожнини рота в залежності від стану тканин пародонту та СОПР у дітей.</w:t>
      </w:r>
    </w:p>
    <w:p w14:paraId="03738908" w14:textId="78D64D8C" w:rsidR="00AF1B46" w:rsidRPr="00AF1B46" w:rsidRDefault="00AF1B46" w:rsidP="00AF1B4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205A3FC0" w14:textId="20DB060A" w:rsidR="003A62A8" w:rsidRPr="003A62A8" w:rsidRDefault="003A62A8" w:rsidP="00AF1B46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61F97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A835259" w:rsidR="00F61F97" w:rsidRPr="00F61F97" w:rsidRDefault="00F61F97" w:rsidP="00F61F97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1BB500A1" w:rsidR="00F61F97" w:rsidRPr="00F61F97" w:rsidRDefault="00F61F97" w:rsidP="00F61F97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5417F8D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F61F9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F61F97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68D27F2F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73F1" w14:textId="77777777" w:rsidR="00F61F97" w:rsidRPr="00F61F97" w:rsidRDefault="00F61F97" w:rsidP="00F61F97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A1AD5EC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  <w:p w14:paraId="218ECC3A" w14:textId="428D6B64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733A" w14:textId="77777777" w:rsidR="00F61F97" w:rsidRPr="00F61F97" w:rsidRDefault="00F61F97" w:rsidP="00F61F97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228C2435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F61F97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4889082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9DC8" w14:textId="77777777" w:rsidR="00F61F97" w:rsidRPr="00F61F97" w:rsidRDefault="00F61F97" w:rsidP="00F61F97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1F97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2566C28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0CCE8F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F61F97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03C57496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6792BC2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447F0EA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355380E0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63030D3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5A203DE7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1DFFFAE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0984E01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33FAE23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4163F9B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6AD47CDA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04295064" w:rsidR="00F61F97" w:rsidRPr="00F61F97" w:rsidRDefault="00F61F97" w:rsidP="00F61F97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F61F97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06DBFAA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0C01118F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6CD7FCC0" w:rsidR="00F61F97" w:rsidRPr="00F61F97" w:rsidRDefault="00F61F97" w:rsidP="00F61F97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18B32C9E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6061116E" w:rsidR="00F61F97" w:rsidRPr="00F61F97" w:rsidRDefault="00F61F97" w:rsidP="00F61F97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5670CA68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A2749F5" w:rsidR="00F61F97" w:rsidRPr="00F61F97" w:rsidRDefault="00F61F97" w:rsidP="00F61F97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44A59B2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1E596EC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27C0DD62" w:rsidR="00F61F97" w:rsidRPr="00F61F97" w:rsidRDefault="00F61F97" w:rsidP="00F61F97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031CF7F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3F8D8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</w:p>
          <w:p w14:paraId="3DBDE5CD" w14:textId="6AAE37CB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6333A5D" w:rsidR="00F61F97" w:rsidRPr="00F61F97" w:rsidRDefault="00F61F97" w:rsidP="00F61F97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3552C8B1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03FC621E" w:rsidR="00F61F97" w:rsidRPr="00F61F97" w:rsidRDefault="00F61F97" w:rsidP="00F61F97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61F97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10075F09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6D1522C3" w:rsidR="00F61F97" w:rsidRPr="00F61F97" w:rsidRDefault="00F61F97" w:rsidP="00F61F9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Правильний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вибір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матеріалів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інструментів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5B0E646F" w:rsidR="00F61F97" w:rsidRPr="00F61F97" w:rsidRDefault="00F61F97" w:rsidP="00F61F97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F61F97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0EB953CA" w:rsidR="00F61F97" w:rsidRPr="00F61F97" w:rsidRDefault="00F61F97" w:rsidP="00F61F97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78E81AD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Оцінка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E189B8" w:rsidR="00F61F97" w:rsidRPr="00F61F97" w:rsidRDefault="00F61F97" w:rsidP="00F61F97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Ознайомтесь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віком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моделлю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зубного ряду</w:t>
            </w:r>
          </w:p>
        </w:tc>
      </w:tr>
      <w:tr w:rsidR="00F61F97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26BA22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D6E4" w14:textId="77777777" w:rsidR="00F61F97" w:rsidRPr="00F61F97" w:rsidRDefault="00F61F97" w:rsidP="00F61F97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ind w:left="360" w:hanging="360"/>
              <w:rPr>
                <w:sz w:val="28"/>
                <w:szCs w:val="28"/>
              </w:rPr>
            </w:pPr>
            <w:r w:rsidRPr="00F61F97">
              <w:rPr>
                <w:sz w:val="28"/>
                <w:szCs w:val="28"/>
              </w:rPr>
              <w:t>З</w:t>
            </w:r>
            <w:r w:rsidRPr="00F61F97">
              <w:rPr>
                <w:sz w:val="28"/>
                <w:szCs w:val="28"/>
                <w:lang w:val="uk-UA"/>
              </w:rPr>
              <w:t>бір</w:t>
            </w:r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анамнез</w:t>
            </w:r>
            <w:proofErr w:type="spellEnd"/>
            <w:r w:rsidRPr="00F61F97">
              <w:rPr>
                <w:sz w:val="28"/>
                <w:szCs w:val="28"/>
                <w:lang w:val="uk-UA"/>
              </w:rPr>
              <w:t>у</w:t>
            </w:r>
            <w:r w:rsidRPr="00F61F97">
              <w:rPr>
                <w:sz w:val="28"/>
                <w:szCs w:val="28"/>
              </w:rPr>
              <w:t xml:space="preserve">: </w:t>
            </w:r>
          </w:p>
          <w:p w14:paraId="62508981" w14:textId="65BF62EC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A38FE9A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Зʼясувати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гієнічні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частота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чищення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зубів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тип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щітки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пасти</w:t>
            </w:r>
          </w:p>
        </w:tc>
      </w:tr>
      <w:tr w:rsidR="00F61F97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BF891BE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06F7ABE8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8026" w14:textId="77777777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  -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Застосуйте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дзеркало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зонд</w:t>
            </w:r>
          </w:p>
          <w:p w14:paraId="1184625E" w14:textId="7EE02E8F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Оцінити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стан ясен,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слизової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оболонки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наявність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кровоточивості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тощо</w:t>
            </w:r>
            <w:proofErr w:type="spellEnd"/>
          </w:p>
        </w:tc>
      </w:tr>
      <w:tr w:rsidR="00F61F97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01A1236C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1B6AD75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Індивідуальне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навчання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9F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proofErr w:type="spellStart"/>
            <w:r w:rsidRPr="00F61F97">
              <w:rPr>
                <w:sz w:val="28"/>
                <w:szCs w:val="28"/>
              </w:rPr>
              <w:t>Пояснити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значення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гігієни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порожнини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рота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простою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мовою</w:t>
            </w:r>
            <w:proofErr w:type="spellEnd"/>
            <w:r w:rsidRPr="00F61F97">
              <w:rPr>
                <w:sz w:val="28"/>
                <w:szCs w:val="28"/>
              </w:rPr>
              <w:t>.</w:t>
            </w:r>
          </w:p>
          <w:p w14:paraId="31462BCB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proofErr w:type="spellStart"/>
            <w:r w:rsidRPr="00F61F97">
              <w:rPr>
                <w:sz w:val="28"/>
                <w:szCs w:val="28"/>
              </w:rPr>
              <w:t>Продемонструвати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техніку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чищення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зубів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відповідно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до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віку</w:t>
            </w:r>
            <w:proofErr w:type="spellEnd"/>
            <w:r w:rsidRPr="00F61F97">
              <w:rPr>
                <w:sz w:val="28"/>
                <w:szCs w:val="28"/>
              </w:rPr>
              <w:t xml:space="preserve"> (</w:t>
            </w:r>
            <w:proofErr w:type="spellStart"/>
            <w:r w:rsidRPr="00F61F97">
              <w:rPr>
                <w:sz w:val="28"/>
                <w:szCs w:val="28"/>
              </w:rPr>
              <w:t>наприклад</w:t>
            </w:r>
            <w:proofErr w:type="spellEnd"/>
            <w:r w:rsidRPr="00F61F97">
              <w:rPr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sz w:val="28"/>
                <w:szCs w:val="28"/>
              </w:rPr>
              <w:t>метод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Фонеса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або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вертикальне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змітання</w:t>
            </w:r>
            <w:proofErr w:type="spellEnd"/>
            <w:r w:rsidRPr="00F61F97">
              <w:rPr>
                <w:sz w:val="28"/>
                <w:szCs w:val="28"/>
              </w:rPr>
              <w:t>).</w:t>
            </w:r>
          </w:p>
          <w:p w14:paraId="6C0AD407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proofErr w:type="spellStart"/>
            <w:r w:rsidRPr="00F61F97">
              <w:rPr>
                <w:sz w:val="28"/>
                <w:szCs w:val="28"/>
              </w:rPr>
              <w:t>Пояснити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правила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користування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зубною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ниткою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або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міжзубними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щітками</w:t>
            </w:r>
            <w:proofErr w:type="spellEnd"/>
            <w:r w:rsidRPr="00F61F97">
              <w:rPr>
                <w:sz w:val="28"/>
                <w:szCs w:val="28"/>
              </w:rPr>
              <w:t>.</w:t>
            </w:r>
          </w:p>
          <w:p w14:paraId="7674F3BF" w14:textId="77777777" w:rsidR="00F61F97" w:rsidRPr="00F61F97" w:rsidRDefault="00F61F97" w:rsidP="00F61F97">
            <w:pPr>
              <w:pStyle w:val="a"/>
              <w:rPr>
                <w:sz w:val="28"/>
                <w:szCs w:val="28"/>
              </w:rPr>
            </w:pPr>
            <w:proofErr w:type="spellStart"/>
            <w:r w:rsidRPr="00F61F97">
              <w:rPr>
                <w:sz w:val="28"/>
                <w:szCs w:val="28"/>
              </w:rPr>
              <w:t>Підібрати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індивідуальні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засоби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гігієни</w:t>
            </w:r>
            <w:proofErr w:type="spellEnd"/>
            <w:r w:rsidRPr="00F61F97">
              <w:rPr>
                <w:sz w:val="28"/>
                <w:szCs w:val="28"/>
              </w:rPr>
              <w:t xml:space="preserve">: </w:t>
            </w:r>
            <w:proofErr w:type="spellStart"/>
            <w:r w:rsidRPr="00F61F97">
              <w:rPr>
                <w:sz w:val="28"/>
                <w:szCs w:val="28"/>
              </w:rPr>
              <w:t>щітку</w:t>
            </w:r>
            <w:proofErr w:type="spellEnd"/>
            <w:r w:rsidRPr="00F61F97">
              <w:rPr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sz w:val="28"/>
                <w:szCs w:val="28"/>
              </w:rPr>
              <w:t>пасту</w:t>
            </w:r>
            <w:proofErr w:type="spellEnd"/>
            <w:r w:rsidRPr="00F61F97">
              <w:rPr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sz w:val="28"/>
                <w:szCs w:val="28"/>
              </w:rPr>
              <w:t>ополіскувач</w:t>
            </w:r>
            <w:proofErr w:type="spellEnd"/>
            <w:r w:rsidRPr="00F61F97">
              <w:rPr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sz w:val="28"/>
                <w:szCs w:val="28"/>
              </w:rPr>
              <w:t>флос</w:t>
            </w:r>
            <w:proofErr w:type="spellEnd"/>
            <w:r w:rsidRPr="00F61F97">
              <w:rPr>
                <w:sz w:val="28"/>
                <w:szCs w:val="28"/>
              </w:rPr>
              <w:t xml:space="preserve"> (з </w:t>
            </w:r>
            <w:proofErr w:type="spellStart"/>
            <w:r w:rsidRPr="00F61F97">
              <w:rPr>
                <w:sz w:val="28"/>
                <w:szCs w:val="28"/>
              </w:rPr>
              <w:t>урахуванням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стану</w:t>
            </w:r>
            <w:proofErr w:type="spellEnd"/>
            <w:r w:rsidRPr="00F61F97">
              <w:rPr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sz w:val="28"/>
                <w:szCs w:val="28"/>
              </w:rPr>
              <w:t>тканин</w:t>
            </w:r>
            <w:proofErr w:type="spellEnd"/>
            <w:r w:rsidRPr="00F61F97">
              <w:rPr>
                <w:sz w:val="28"/>
                <w:szCs w:val="28"/>
              </w:rPr>
              <w:t>).</w:t>
            </w:r>
          </w:p>
          <w:p w14:paraId="049ABEDE" w14:textId="7FB7D31B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Озвучити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частоту та режим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використання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гігієни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1F97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68CE" w14:textId="77777777" w:rsidR="00F61F97" w:rsidRPr="00F61F97" w:rsidRDefault="00F61F97" w:rsidP="00F61F97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38278998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5FD64F21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BA686B2" w14:textId="77777777" w:rsidR="00F61F97" w:rsidRPr="00F61F97" w:rsidRDefault="00F61F97" w:rsidP="00F61F97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809A" w14:textId="163E13D9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>Надати</w:t>
            </w:r>
            <w:proofErr w:type="spellEnd"/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B43" w14:textId="77777777" w:rsidR="00F61F97" w:rsidRPr="00F61F97" w:rsidRDefault="00F61F97" w:rsidP="00F61F97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Запланувати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контрольний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профілактичний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через 6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2A7FD8" w14:textId="7239543A" w:rsidR="00F61F97" w:rsidRPr="00F61F97" w:rsidRDefault="00F61F97" w:rsidP="00F61F97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Санітарно-освітня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бесіда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дитини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батьків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61F97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546B9C76" w:rsidR="00F61F97" w:rsidRPr="00F61F97" w:rsidRDefault="00F61F97" w:rsidP="00F61F97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1B24806C" w:rsidR="00F61F97" w:rsidRPr="00F61F97" w:rsidRDefault="00F61F97" w:rsidP="00F61F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00A" w14:textId="010A09E8" w:rsidR="00F61F97" w:rsidRPr="00F61F97" w:rsidRDefault="00F61F97" w:rsidP="00F61F97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F61F97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4597586" w:rsidR="00F61F97" w:rsidRPr="00F61F97" w:rsidRDefault="00F61F97" w:rsidP="00F61F97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1F97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0BF77CD3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2C709DF7" w:rsidR="00F61F97" w:rsidRPr="00F61F97" w:rsidRDefault="00F61F97" w:rsidP="00F61F97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61F97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F61F97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2A8"/>
    <w:rsid w:val="003B73FC"/>
    <w:rsid w:val="003C2D02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1303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87598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1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5112</Words>
  <Characters>2914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33</cp:revision>
  <dcterms:created xsi:type="dcterms:W3CDTF">2025-06-02T09:26:00Z</dcterms:created>
  <dcterms:modified xsi:type="dcterms:W3CDTF">2026-04-23T08:09:00Z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