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81462D4" w14:textId="77777777" w:rsidR="00B85E6E" w:rsidRPr="00B85E6E" w:rsidRDefault="00B85E6E" w:rsidP="00B85E6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B85E6E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85E6E">
        <w:rPr>
          <w:rFonts w:ascii="Times New Roman" w:hAnsi="Times New Roman"/>
          <w:sz w:val="28"/>
          <w:szCs w:val="28"/>
          <w:lang w:val="uk-UA"/>
        </w:rPr>
        <w:t>Консультація пацієнта 12 років, щодо використання засобів та предметів індивідуальної гігієни порожнини рота під час періодичного профілактичного огляду лікаря-стоматолога</w:t>
      </w:r>
      <w:r w:rsidRPr="00B85E6E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7A68BB6" w:rsidR="00532372" w:rsidRPr="009A365E" w:rsidRDefault="00532372" w:rsidP="00B85E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85E6E" w:rsidRPr="00B85E6E">
        <w:rPr>
          <w:rFonts w:ascii="Times New Roman" w:hAnsi="Times New Roman"/>
          <w:b/>
          <w:sz w:val="28"/>
          <w:szCs w:val="28"/>
          <w:lang w:val="uk-UA"/>
        </w:rPr>
        <w:t>«Консультація пацієнта 12 років, щодо використання засобів та предметів індивідуальної гігієни порожнини рота під час періодичного профілактичного огляду лікаря-стоматолога»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E7B15A3" w14:textId="77777777" w:rsidR="00B85E6E" w:rsidRP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85E6E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навчання.</w:t>
      </w:r>
    </w:p>
    <w:p w14:paraId="22A33545" w14:textId="77777777" w:rsidR="00B85E6E" w:rsidRPr="009A365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64EC5A98" w:rsidR="003B73FC" w:rsidRPr="003B73FC" w:rsidRDefault="00B85E6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(кп чи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707E844" w:rsidR="003B73FC" w:rsidRPr="004B52BF" w:rsidRDefault="00B85E6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уражені, пломбовані та втрачені зуби.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805A3" w:rsidR="003B73FC" w:rsidRPr="003B73FC" w:rsidRDefault="00B85E6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F4D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1E3D538F" w:rsidR="003B73FC" w:rsidRPr="003B73FC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6DBB4CE4" w:rsidR="00B2231A" w:rsidRPr="00B2231A" w:rsidRDefault="00B85E6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Поясніть, до якої категорії належить показник (низький, середній, високий ризик).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CE3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72B00F67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674BD26F" w:rsidR="00B2231A" w:rsidRPr="00B2231A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4942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21</cp:revision>
  <dcterms:created xsi:type="dcterms:W3CDTF">2025-06-02T09:26:00Z</dcterms:created>
  <dcterms:modified xsi:type="dcterms:W3CDTF">2025-06-02T11:02:00Z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