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2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FA28C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вибіркову навчальну дисципліну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кафедрального каталогу </w:t>
      </w:r>
    </w:p>
    <w:p w:rsidR="00EA4F2E" w:rsidRPr="00FA28C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475B">
        <w:rPr>
          <w:rFonts w:ascii="Times New Roman" w:hAnsi="Times New Roman" w:cs="Times New Roman"/>
          <w:sz w:val="24"/>
          <w:szCs w:val="24"/>
          <w:lang w:val="uk-UA"/>
        </w:rPr>
        <w:t>ОП «Б</w:t>
      </w:r>
      <w:r>
        <w:rPr>
          <w:rFonts w:ascii="Times New Roman" w:hAnsi="Times New Roman" w:cs="Times New Roman"/>
          <w:sz w:val="24"/>
          <w:szCs w:val="24"/>
          <w:lang w:val="uk-UA"/>
        </w:rPr>
        <w:t>іологія</w:t>
      </w:r>
      <w:r w:rsidRPr="0086475B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спеціальності Біологія та біохімія другого магістерського рівня вищої освіти 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>на 2022/2023 навчальний рік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5557"/>
      </w:tblGrid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557" w:type="dxa"/>
          </w:tcPr>
          <w:p w:rsidR="00EA4F2E" w:rsidRPr="00F460AD" w:rsidRDefault="00354B35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4B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Картування екосистем та оцінка </w:t>
            </w:r>
            <w:proofErr w:type="spellStart"/>
            <w:r w:rsidRPr="00354B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екосистемних</w:t>
            </w:r>
            <w:proofErr w:type="spellEnd"/>
            <w:r w:rsidRPr="00354B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послуг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57" w:type="dxa"/>
          </w:tcPr>
          <w:p w:rsidR="00EA4F2E" w:rsidRPr="00F460AD" w:rsidRDefault="00354B35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кредитах*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ЄКТС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EA4F2E" w:rsidRPr="0086475B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5557" w:type="dxa"/>
          </w:tcPr>
          <w:p w:rsidR="00354B35" w:rsidRPr="00354B35" w:rsidRDefault="00354B35" w:rsidP="00354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1.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Іноземна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мова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професійним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спрямуванням</w:t>
            </w:r>
            <w:proofErr w:type="spellEnd"/>
          </w:p>
          <w:p w:rsidR="00354B35" w:rsidRPr="00354B35" w:rsidRDefault="00354B35" w:rsidP="00354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2.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Безпека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життєдіяльності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біоетика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біобезпека</w:t>
            </w:r>
            <w:proofErr w:type="spellEnd"/>
          </w:p>
          <w:p w:rsidR="00354B35" w:rsidRPr="00354B35" w:rsidRDefault="00354B35" w:rsidP="00354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3.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Системний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аналіз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біології</w:t>
            </w:r>
            <w:proofErr w:type="spellEnd"/>
          </w:p>
          <w:p w:rsidR="00354B35" w:rsidRPr="00354B35" w:rsidRDefault="00354B35" w:rsidP="00354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5.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Сучасна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методологія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біологічних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досліджень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основами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інтелектуальної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54B35" w:rsidRPr="00354B35" w:rsidRDefault="00354B35" w:rsidP="00354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власності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A4F2E" w:rsidRPr="0086475B" w:rsidRDefault="00354B35" w:rsidP="00354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6.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Еволюційна</w:t>
            </w:r>
            <w:proofErr w:type="spellEnd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екологія</w:t>
            </w:r>
            <w:proofErr w:type="spellEnd"/>
          </w:p>
        </w:tc>
      </w:tr>
      <w:tr w:rsidR="00EA4F2E" w:rsidRPr="00354B35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57" w:type="dxa"/>
          </w:tcPr>
          <w:p w:rsidR="00EA4F2E" w:rsidRPr="00F460AD" w:rsidRDefault="00354B35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Зоології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сайт електронного навчання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5557" w:type="dxa"/>
          </w:tcPr>
          <w:p w:rsidR="00EA4F2E" w:rsidRPr="00F460AD" w:rsidRDefault="00EA4F2E" w:rsidP="00354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Лекції, </w:t>
            </w:r>
            <w:r w:rsidR="00354B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</w:t>
            </w:r>
          </w:p>
        </w:tc>
      </w:tr>
      <w:tr w:rsidR="00EA4F2E" w:rsidRPr="00E31500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557" w:type="dxa"/>
          </w:tcPr>
          <w:p w:rsidR="00EA4F2E" w:rsidRPr="00E31500" w:rsidRDefault="00E31500" w:rsidP="00E31500">
            <w:pPr>
              <w:pStyle w:val="a5"/>
              <w:spacing w:before="0" w:beforeAutospacing="0" w:after="0" w:afterAutospacing="0"/>
              <w:ind w:firstLine="499"/>
              <w:jc w:val="both"/>
              <w:rPr>
                <w:color w:val="FF0000"/>
              </w:rPr>
            </w:pPr>
            <w:r>
              <w:t xml:space="preserve">Знати і розуміти принципи </w:t>
            </w:r>
            <w:proofErr w:type="spellStart"/>
            <w:r>
              <w:t>екосистемних</w:t>
            </w:r>
            <w:proofErr w:type="spellEnd"/>
            <w:r>
              <w:t xml:space="preserve"> підходів до провадження економічної діяльності людського суспільства, які полягають у  збалансованому природокористуванні та створенні</w:t>
            </w:r>
            <w:r w:rsidRPr="00E31500">
              <w:t xml:space="preserve"> умов для довгострокового збереження </w:t>
            </w:r>
            <w:proofErr w:type="spellStart"/>
            <w:r w:rsidRPr="00E31500">
              <w:t>біорізноманіття</w:t>
            </w:r>
            <w:proofErr w:type="spellEnd"/>
            <w:r>
              <w:t xml:space="preserve">. Знати про сучасні </w:t>
            </w:r>
            <w:r w:rsidRPr="00E31500">
              <w:t xml:space="preserve">європейські підходи та практики щодо ідентифікації, обліку </w:t>
            </w:r>
            <w:proofErr w:type="spellStart"/>
            <w:r w:rsidRPr="00E31500">
              <w:t>екосистемних</w:t>
            </w:r>
            <w:proofErr w:type="spellEnd"/>
            <w:r w:rsidRPr="00E31500">
              <w:t xml:space="preserve"> послуг та оцінки їхньої вартості, закріплені на законодавчому рівні</w:t>
            </w:r>
            <w:r>
              <w:t xml:space="preserve">. Володіти методологією оцінки економічної вартості послуг екосистем, використовуючи загально прийняту типологію екосистем </w:t>
            </w:r>
            <w:r>
              <w:rPr>
                <w:lang w:val="en-US"/>
              </w:rPr>
              <w:t>MAES</w:t>
            </w:r>
            <w:r w:rsidRPr="00E31500">
              <w:t xml:space="preserve"> </w:t>
            </w:r>
            <w:r>
              <w:t xml:space="preserve">та класифікацію послуг екосистем </w:t>
            </w:r>
            <w:r>
              <w:rPr>
                <w:lang w:val="en-US"/>
              </w:rPr>
              <w:t>CICES</w:t>
            </w:r>
            <w:r w:rsidRPr="00E31500">
              <w:t xml:space="preserve"> </w:t>
            </w:r>
            <w:r>
              <w:rPr>
                <w:lang w:val="en-US"/>
              </w:rPr>
              <w:t>V</w:t>
            </w:r>
            <w:r w:rsidRPr="00E31500">
              <w:t>5.1</w:t>
            </w:r>
            <w:r>
              <w:t xml:space="preserve">. Вміти самостійно ідентифікувати перелік </w:t>
            </w:r>
            <w:proofErr w:type="spellStart"/>
            <w:r>
              <w:t>екосистемних</w:t>
            </w:r>
            <w:proofErr w:type="spellEnd"/>
            <w:r>
              <w:t xml:space="preserve"> послуг лісових, лучних, </w:t>
            </w:r>
            <w:proofErr w:type="spellStart"/>
            <w:r>
              <w:t>полонинних</w:t>
            </w:r>
            <w:proofErr w:type="spellEnd"/>
            <w:r>
              <w:t>, степових, водно-болотних</w:t>
            </w:r>
            <w:r w:rsidR="00F95FB8">
              <w:t>, річкових</w:t>
            </w:r>
            <w:r>
              <w:t xml:space="preserve"> екосистем, </w:t>
            </w:r>
            <w:proofErr w:type="spellStart"/>
            <w:r>
              <w:t>агроландшафтрів</w:t>
            </w:r>
            <w:proofErr w:type="spellEnd"/>
            <w:r>
              <w:t xml:space="preserve"> та </w:t>
            </w:r>
            <w:proofErr w:type="spellStart"/>
            <w:r>
              <w:t>урбоекосистем</w:t>
            </w:r>
            <w:proofErr w:type="spellEnd"/>
            <w:r>
              <w:t xml:space="preserve"> та здійснити оцінку їхньої економічної вартості.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вивчатися, перелік тем):</w:t>
            </w:r>
          </w:p>
        </w:tc>
        <w:tc>
          <w:tcPr>
            <w:tcW w:w="5557" w:type="dxa"/>
          </w:tcPr>
          <w:p w:rsidR="00F95FB8" w:rsidRPr="00F95FB8" w:rsidRDefault="00F95FB8" w:rsidP="00F95F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1.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Послуги екосистем як фінансовий механізм та інструмент природоохоронної політики. Європейська практика</w:t>
            </w:r>
          </w:p>
          <w:p w:rsidR="00F95FB8" w:rsidRPr="00F95FB8" w:rsidRDefault="00F95FB8" w:rsidP="00F95F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2.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Типологія екосистем, картування та класифікації </w:t>
            </w:r>
            <w:proofErr w:type="spellStart"/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екосистемних</w:t>
            </w:r>
            <w:proofErr w:type="spellEnd"/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послуг</w:t>
            </w:r>
          </w:p>
          <w:p w:rsidR="00F95FB8" w:rsidRPr="00F95FB8" w:rsidRDefault="00F95FB8" w:rsidP="00F95F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3.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 оцінки економічної вартості послуг екосистем. Сфера застосування оцінки економічної вартості послуг екосистем в Україні</w:t>
            </w:r>
          </w:p>
          <w:p w:rsidR="00F95FB8" w:rsidRPr="00F95FB8" w:rsidRDefault="00F95FB8" w:rsidP="00F95F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4.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Зв’язок між послугами екосистем та </w:t>
            </w:r>
            <w:proofErr w:type="spellStart"/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біорізноманіттям</w:t>
            </w:r>
            <w:proofErr w:type="spellEnd"/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95FB8" w:rsidRPr="00F95FB8" w:rsidRDefault="00F95FB8" w:rsidP="00F95F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5.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Забезпечувальні, регулятивно-підтримувальні та культурні послуги екосистем</w:t>
            </w: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</w:t>
            </w: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методики оцінки їхньої економічної вартості</w:t>
            </w:r>
          </w:p>
          <w:p w:rsidR="00F95FB8" w:rsidRPr="00F95FB8" w:rsidRDefault="00F95FB8" w:rsidP="00F95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6.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Луки та пасовища. Субальпійські луки Карпат.</w:t>
            </w:r>
          </w:p>
          <w:p w:rsidR="00F95FB8" w:rsidRPr="00F95FB8" w:rsidRDefault="00F95FB8" w:rsidP="00F95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7.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Лісові екосистеми. Функції лісів та послуги лісових екосистем. </w:t>
            </w:r>
          </w:p>
          <w:p w:rsidR="00F95FB8" w:rsidRPr="00F95FB8" w:rsidRDefault="00F95FB8" w:rsidP="00F95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8.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Мертва деревина як компонент лісової екосистеми. </w:t>
            </w:r>
            <w:proofErr w:type="spellStart"/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Екосистемні</w:t>
            </w:r>
            <w:proofErr w:type="spellEnd"/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послуги лісових екосистем, що базуються на мертвій деревині.</w:t>
            </w:r>
          </w:p>
          <w:p w:rsidR="00F95FB8" w:rsidRPr="00F95FB8" w:rsidRDefault="00F95FB8" w:rsidP="00F95F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9.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Чагарники та степові екосистеми</w:t>
            </w:r>
          </w:p>
          <w:p w:rsidR="00F95FB8" w:rsidRPr="00F95FB8" w:rsidRDefault="00F95FB8" w:rsidP="00F95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10.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Річкові екосистеми та водно-болотні угіддя. </w:t>
            </w:r>
          </w:p>
          <w:p w:rsidR="00F95FB8" w:rsidRPr="00F95FB8" w:rsidRDefault="00F95FB8" w:rsidP="00F95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11. </w:t>
            </w:r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Орні землі</w:t>
            </w:r>
          </w:p>
          <w:p w:rsidR="00EA4F2E" w:rsidRPr="00F460AD" w:rsidRDefault="00F95FB8" w:rsidP="00F95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5FB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12. </w:t>
            </w:r>
            <w:proofErr w:type="spellStart"/>
            <w:r w:rsidRPr="00F95F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Урбоекосистеми</w:t>
            </w:r>
            <w:proofErr w:type="spellEnd"/>
            <w:r w:rsidR="00EA4F2E" w:rsidRPr="00F95FB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EA4F2E" w:rsidRPr="00FA28CE" w:rsidRDefault="00EA4F2E" w:rsidP="00EA4F2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A4F2E" w:rsidRDefault="00EA4F2E" w:rsidP="00EA4F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A28CE"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BD52D3" w:rsidRPr="00E31500" w:rsidRDefault="002465BA">
      <w:pPr>
        <w:rPr>
          <w:lang w:val="uk-UA"/>
        </w:rPr>
      </w:pPr>
    </w:p>
    <w:sectPr w:rsidR="00BD52D3" w:rsidRPr="00E3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B9"/>
    <w:rsid w:val="002465BA"/>
    <w:rsid w:val="00354B35"/>
    <w:rsid w:val="008427EC"/>
    <w:rsid w:val="008D33C8"/>
    <w:rsid w:val="00E31500"/>
    <w:rsid w:val="00EA4F2E"/>
    <w:rsid w:val="00F37EB9"/>
    <w:rsid w:val="00F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94B5D4-69D8-438C-8D27-FE3FA64E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4F2E"/>
    <w:pPr>
      <w:spacing w:after="0" w:line="240" w:lineRule="auto"/>
    </w:pPr>
  </w:style>
  <w:style w:type="paragraph" w:styleId="a5">
    <w:name w:val="Normal (Web)"/>
    <w:basedOn w:val="a"/>
    <w:unhideWhenUsed/>
    <w:rsid w:val="00EA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2023-07-14T13:05:00Z</dcterms:created>
  <dcterms:modified xsi:type="dcterms:W3CDTF">2023-07-14T13:05:00Z</dcterms:modified>
</cp:coreProperties>
</file>