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025" w:rsidRDefault="00367C4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Аудит </w:t>
      </w:r>
      <w:proofErr w:type="spellStart"/>
      <w:r>
        <w:rPr>
          <w:rFonts w:ascii="Times New Roman" w:eastAsia="Times New Roman" w:hAnsi="Times New Roman" w:cs="Times New Roman"/>
          <w:b/>
          <w:sz w:val="28"/>
          <w:szCs w:val="28"/>
        </w:rPr>
        <w:t>безбар’єрності</w:t>
      </w:r>
      <w:proofErr w:type="spellEnd"/>
    </w:p>
    <w:p w:rsidR="00444025" w:rsidRDefault="00367C4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Державного вищого навчального закладу</w:t>
      </w:r>
    </w:p>
    <w:p w:rsidR="00444025" w:rsidRDefault="00367C4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“Ужгородський національний університет”</w:t>
      </w:r>
    </w:p>
    <w:p w:rsidR="00444025" w:rsidRDefault="00444025">
      <w:pPr>
        <w:rPr>
          <w:rFonts w:ascii="Times New Roman" w:eastAsia="Times New Roman" w:hAnsi="Times New Roman" w:cs="Times New Roman"/>
          <w:sz w:val="28"/>
          <w:szCs w:val="28"/>
        </w:rPr>
      </w:pPr>
    </w:p>
    <w:p w:rsidR="00444025" w:rsidRDefault="00367C49">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Преамбула</w:t>
      </w: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Державний вищий навчальний заклад “Ужгородський національний університет” є найбільшим закладом вищої освіти області, в якому здійснюється підготовка фахівців з різних спеціальностей. В сучасних умовах університет є не лише центром здобуття академічних зна</w:t>
      </w:r>
      <w:r>
        <w:rPr>
          <w:rFonts w:ascii="Times New Roman" w:eastAsia="Times New Roman" w:hAnsi="Times New Roman" w:cs="Times New Roman"/>
          <w:sz w:val="28"/>
          <w:szCs w:val="28"/>
        </w:rPr>
        <w:t xml:space="preserve">нь, а й місцем проведення наукових конференцій, заходів неформальної освіти тощо. </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умовах повномасштабної війни та очікуваного післявоєнного відновлення України критичною є спроможність освітніх та наукових інституцій, включно класичних закладів вищої ос</w:t>
      </w:r>
      <w:r>
        <w:rPr>
          <w:rFonts w:ascii="Times New Roman" w:eastAsia="Times New Roman" w:hAnsi="Times New Roman" w:cs="Times New Roman"/>
          <w:sz w:val="28"/>
          <w:szCs w:val="28"/>
        </w:rPr>
        <w:t xml:space="preserve">віти, яким є ДВНЗ «Ужгородський національний університет», створювати умови для безперешкодного доступу до своїх послуг. Вже на даному етапі можна припустити, що кількість військових та цивільних осіб, які отримали поранення та, як наслідок, інвалідність, </w:t>
      </w:r>
      <w:r>
        <w:rPr>
          <w:rFonts w:ascii="Times New Roman" w:eastAsia="Times New Roman" w:hAnsi="Times New Roman" w:cs="Times New Roman"/>
          <w:sz w:val="28"/>
          <w:szCs w:val="28"/>
        </w:rPr>
        <w:t>зростатиме, а отже, це ті особи, які потребуватимуть перекваліфікації відповідно до вимог ринку праці та своїх можливостей виконувати ту чи іншу роботу. Відповідно, постає необхідність створення безперешкодного середовища для задоволення ними цієї потреби.</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Ужгородського національного університету пріоритетним є завдання збереження та розвитку людського капіталу, що можна досягти завдяки якісній освіті молоді та безперервному професійному розвитку впродовж життя, доступу до освітніх послуг усім зацікавле</w:t>
      </w:r>
      <w:r>
        <w:rPr>
          <w:rFonts w:ascii="Times New Roman" w:eastAsia="Times New Roman" w:hAnsi="Times New Roman" w:cs="Times New Roman"/>
          <w:sz w:val="28"/>
          <w:szCs w:val="28"/>
        </w:rPr>
        <w:t xml:space="preserve">ним особам, включно представників та представниць вразливих груп, підвищення ефективності взаємодії з роботодавцями, замовниками науково-прикладних, інноваційних продуктів та послуг. </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сприятливих умов для рівного доступу до освітнього процесу, н</w:t>
      </w:r>
      <w:r>
        <w:rPr>
          <w:rFonts w:ascii="Times New Roman" w:eastAsia="Times New Roman" w:hAnsi="Times New Roman" w:cs="Times New Roman"/>
          <w:sz w:val="28"/>
          <w:szCs w:val="28"/>
        </w:rPr>
        <w:t xml:space="preserve">аукової діяльності, інформаційних, цифрових та інших послуг для осіб з інвалідністю, створення </w:t>
      </w:r>
      <w:proofErr w:type="spellStart"/>
      <w:r>
        <w:rPr>
          <w:rFonts w:ascii="Times New Roman" w:eastAsia="Times New Roman" w:hAnsi="Times New Roman" w:cs="Times New Roman"/>
          <w:sz w:val="28"/>
          <w:szCs w:val="28"/>
        </w:rPr>
        <w:t>безбар’єрного</w:t>
      </w:r>
      <w:proofErr w:type="spellEnd"/>
      <w:r>
        <w:rPr>
          <w:rFonts w:ascii="Times New Roman" w:eastAsia="Times New Roman" w:hAnsi="Times New Roman" w:cs="Times New Roman"/>
          <w:sz w:val="28"/>
          <w:szCs w:val="28"/>
        </w:rPr>
        <w:t xml:space="preserve"> простору є запорукою якісних змін в суспільстві, зменшення дискримінації за ознакою стану здоров’я, переходу від медичної до правозахисної моделі і</w:t>
      </w:r>
      <w:r>
        <w:rPr>
          <w:rFonts w:ascii="Times New Roman" w:eastAsia="Times New Roman" w:hAnsi="Times New Roman" w:cs="Times New Roman"/>
          <w:sz w:val="28"/>
          <w:szCs w:val="28"/>
        </w:rPr>
        <w:t>нвалідності.</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Виходячи з всього вищезазначеного постає необхідність проведення комплексної оцінки поточного стану доступності ДВНЗ “Ужгородський національний університет” в фізичному, інформаційному та цифровому </w:t>
      </w:r>
      <w:r>
        <w:rPr>
          <w:rFonts w:ascii="Times New Roman" w:eastAsia="Times New Roman" w:hAnsi="Times New Roman" w:cs="Times New Roman"/>
          <w:sz w:val="28"/>
          <w:szCs w:val="28"/>
        </w:rPr>
        <w:lastRenderedPageBreak/>
        <w:t>вимірі з метою визначення пріоритетних завдан</w:t>
      </w:r>
      <w:r>
        <w:rPr>
          <w:rFonts w:ascii="Times New Roman" w:eastAsia="Times New Roman" w:hAnsi="Times New Roman" w:cs="Times New Roman"/>
          <w:sz w:val="28"/>
          <w:szCs w:val="28"/>
        </w:rPr>
        <w:t xml:space="preserve">ь задля створення </w:t>
      </w:r>
      <w:proofErr w:type="spellStart"/>
      <w:r>
        <w:rPr>
          <w:rFonts w:ascii="Times New Roman" w:eastAsia="Times New Roman" w:hAnsi="Times New Roman" w:cs="Times New Roman"/>
          <w:sz w:val="28"/>
          <w:szCs w:val="28"/>
        </w:rPr>
        <w:t>безбар’єрного</w:t>
      </w:r>
      <w:proofErr w:type="spellEnd"/>
      <w:r>
        <w:rPr>
          <w:rFonts w:ascii="Times New Roman" w:eastAsia="Times New Roman" w:hAnsi="Times New Roman" w:cs="Times New Roman"/>
          <w:sz w:val="28"/>
          <w:szCs w:val="28"/>
        </w:rPr>
        <w:t xml:space="preserve"> фізичного, освітнього, інформаційного та цифрового середовища. При цьому слід враховувати важливість умов </w:t>
      </w:r>
      <w:proofErr w:type="spellStart"/>
      <w:r>
        <w:rPr>
          <w:rFonts w:ascii="Times New Roman" w:eastAsia="Times New Roman" w:hAnsi="Times New Roman" w:cs="Times New Roman"/>
          <w:sz w:val="28"/>
          <w:szCs w:val="28"/>
        </w:rPr>
        <w:t>безбар’єрності</w:t>
      </w:r>
      <w:proofErr w:type="spellEnd"/>
      <w:r>
        <w:rPr>
          <w:rFonts w:ascii="Times New Roman" w:eastAsia="Times New Roman" w:hAnsi="Times New Roman" w:cs="Times New Roman"/>
          <w:sz w:val="28"/>
          <w:szCs w:val="28"/>
        </w:rPr>
        <w:t xml:space="preserve"> як для осіб з інвалідністю, так і для людей.</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Мета - </w:t>
      </w:r>
      <w:r>
        <w:rPr>
          <w:rFonts w:ascii="Times New Roman" w:eastAsia="Times New Roman" w:hAnsi="Times New Roman" w:cs="Times New Roman"/>
          <w:color w:val="333333"/>
          <w:sz w:val="28"/>
          <w:szCs w:val="28"/>
          <w:highlight w:val="white"/>
        </w:rPr>
        <w:t xml:space="preserve">створення безперешкодного середовища для всіх груп </w:t>
      </w:r>
      <w:r>
        <w:rPr>
          <w:rFonts w:ascii="Times New Roman" w:eastAsia="Times New Roman" w:hAnsi="Times New Roman" w:cs="Times New Roman"/>
          <w:color w:val="333333"/>
          <w:sz w:val="28"/>
          <w:szCs w:val="28"/>
          <w:highlight w:val="white"/>
        </w:rPr>
        <w:t>населення, забезпечення рівних можливостей кожній людині реалізовувати свої права, отримувати послуги на рівні з іншими в ДВНЗ “Ужгородський національний університет”.</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досягнення поставлених цілей є відповідна нормативно-правова база національного рівн</w:t>
      </w:r>
      <w:r>
        <w:rPr>
          <w:rFonts w:ascii="Times New Roman" w:eastAsia="Times New Roman" w:hAnsi="Times New Roman" w:cs="Times New Roman"/>
          <w:sz w:val="28"/>
          <w:szCs w:val="28"/>
        </w:rPr>
        <w:t>я, а також ратифіковані міжнародні акти:</w:t>
      </w:r>
    </w:p>
    <w:p w:rsidR="00444025" w:rsidRDefault="00367C49" w:rsidP="00367C49">
      <w:pPr>
        <w:numPr>
          <w:ilvl w:val="0"/>
          <w:numId w:val="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Конвенція про права осіб з інвалідністю (</w:t>
      </w:r>
      <w:hyperlink r:id="rId5" w:anchor="Text">
        <w:r>
          <w:rPr>
            <w:rFonts w:ascii="Times New Roman" w:eastAsia="Times New Roman" w:hAnsi="Times New Roman" w:cs="Times New Roman"/>
            <w:color w:val="1155CC"/>
            <w:sz w:val="28"/>
            <w:szCs w:val="28"/>
            <w:u w:val="single"/>
          </w:rPr>
          <w:t>https://zakon.rada.gov.ua/laws/show/995_g71#Text</w:t>
        </w:r>
      </w:hyperlink>
      <w:r>
        <w:rPr>
          <w:rFonts w:ascii="Times New Roman" w:eastAsia="Times New Roman" w:hAnsi="Times New Roman" w:cs="Times New Roman"/>
          <w:sz w:val="28"/>
          <w:szCs w:val="28"/>
        </w:rPr>
        <w:t xml:space="preserve">). </w:t>
      </w:r>
    </w:p>
    <w:p w:rsidR="00444025" w:rsidRDefault="00367C49" w:rsidP="00367C49">
      <w:pPr>
        <w:numPr>
          <w:ilvl w:val="0"/>
          <w:numId w:val="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Закон України “Про основи соціальної захищеності </w:t>
      </w:r>
      <w:r>
        <w:rPr>
          <w:rFonts w:ascii="Times New Roman" w:eastAsia="Times New Roman" w:hAnsi="Times New Roman" w:cs="Times New Roman"/>
          <w:sz w:val="28"/>
          <w:szCs w:val="28"/>
        </w:rPr>
        <w:t>осіб з інвалідністю в Україні” (</w:t>
      </w:r>
      <w:hyperlink r:id="rId6" w:anchor="Text">
        <w:r>
          <w:rPr>
            <w:rFonts w:ascii="Times New Roman" w:eastAsia="Times New Roman" w:hAnsi="Times New Roman" w:cs="Times New Roman"/>
            <w:color w:val="1155CC"/>
            <w:sz w:val="28"/>
            <w:szCs w:val="28"/>
            <w:u w:val="single"/>
          </w:rPr>
          <w:t>https://zakon.rada.gov.ua/laws/show/875-12#Text</w:t>
        </w:r>
      </w:hyperlink>
      <w:r>
        <w:rPr>
          <w:rFonts w:ascii="Times New Roman" w:eastAsia="Times New Roman" w:hAnsi="Times New Roman" w:cs="Times New Roman"/>
          <w:sz w:val="28"/>
          <w:szCs w:val="28"/>
        </w:rPr>
        <w:t xml:space="preserve">). </w:t>
      </w:r>
    </w:p>
    <w:p w:rsidR="00444025" w:rsidRDefault="00367C49" w:rsidP="00367C49">
      <w:pPr>
        <w:numPr>
          <w:ilvl w:val="0"/>
          <w:numId w:val="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Закон України “Про реабілітацію осіб з інвалідністю в Україні” (</w:t>
      </w:r>
      <w:hyperlink r:id="rId7" w:anchor="Text">
        <w:r>
          <w:rPr>
            <w:rFonts w:ascii="Times New Roman" w:eastAsia="Times New Roman" w:hAnsi="Times New Roman" w:cs="Times New Roman"/>
            <w:color w:val="1155CC"/>
            <w:sz w:val="28"/>
            <w:szCs w:val="28"/>
            <w:u w:val="single"/>
          </w:rPr>
          <w:t>https://zakon.rada.gov.ua/laws/show/2961-15#Text</w:t>
        </w:r>
      </w:hyperlink>
      <w:r>
        <w:rPr>
          <w:rFonts w:ascii="Times New Roman" w:eastAsia="Times New Roman" w:hAnsi="Times New Roman" w:cs="Times New Roman"/>
          <w:sz w:val="28"/>
          <w:szCs w:val="28"/>
        </w:rPr>
        <w:t xml:space="preserve">). </w:t>
      </w:r>
    </w:p>
    <w:p w:rsidR="00444025" w:rsidRDefault="00367C49" w:rsidP="00367C49">
      <w:pPr>
        <w:numPr>
          <w:ilvl w:val="0"/>
          <w:numId w:val="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Національна стратегія зі створення </w:t>
      </w:r>
      <w:proofErr w:type="spellStart"/>
      <w:r>
        <w:rPr>
          <w:rFonts w:ascii="Times New Roman" w:eastAsia="Times New Roman" w:hAnsi="Times New Roman" w:cs="Times New Roman"/>
          <w:sz w:val="28"/>
          <w:szCs w:val="28"/>
        </w:rPr>
        <w:t>безбар’єрного</w:t>
      </w:r>
      <w:proofErr w:type="spellEnd"/>
      <w:r>
        <w:rPr>
          <w:rFonts w:ascii="Times New Roman" w:eastAsia="Times New Roman" w:hAnsi="Times New Roman" w:cs="Times New Roman"/>
          <w:sz w:val="28"/>
          <w:szCs w:val="28"/>
        </w:rPr>
        <w:t xml:space="preserve"> простору в Україні на період до 2030 р. (</w:t>
      </w:r>
      <w:hyperlink r:id="rId8" w:anchor="Text">
        <w:r>
          <w:rPr>
            <w:rFonts w:ascii="Times New Roman" w:eastAsia="Times New Roman" w:hAnsi="Times New Roman" w:cs="Times New Roman"/>
            <w:color w:val="1155CC"/>
            <w:sz w:val="28"/>
            <w:szCs w:val="28"/>
            <w:u w:val="single"/>
          </w:rPr>
          <w:t>https://zakon.rada.gov.ua/laws/show/366-2021-%D1%80#Text</w:t>
        </w:r>
      </w:hyperlink>
      <w:r>
        <w:rPr>
          <w:rFonts w:ascii="Times New Roman" w:eastAsia="Times New Roman" w:hAnsi="Times New Roman" w:cs="Times New Roman"/>
          <w:sz w:val="28"/>
          <w:szCs w:val="28"/>
        </w:rPr>
        <w:t xml:space="preserve">). </w:t>
      </w:r>
    </w:p>
    <w:p w:rsidR="00444025" w:rsidRDefault="00367C49" w:rsidP="00367C49">
      <w:pPr>
        <w:numPr>
          <w:ilvl w:val="0"/>
          <w:numId w:val="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 заходів з реалізації Національної стратегії зі створення </w:t>
      </w:r>
      <w:proofErr w:type="spellStart"/>
      <w:r>
        <w:rPr>
          <w:rFonts w:ascii="Times New Roman" w:eastAsia="Times New Roman" w:hAnsi="Times New Roman" w:cs="Times New Roman"/>
          <w:sz w:val="28"/>
          <w:szCs w:val="28"/>
        </w:rPr>
        <w:t>безбар’єрного</w:t>
      </w:r>
      <w:proofErr w:type="spellEnd"/>
      <w:r>
        <w:rPr>
          <w:rFonts w:ascii="Times New Roman" w:eastAsia="Times New Roman" w:hAnsi="Times New Roman" w:cs="Times New Roman"/>
          <w:sz w:val="28"/>
          <w:szCs w:val="28"/>
        </w:rPr>
        <w:t xml:space="preserve"> простору в Україні, який приймається кожні два роки.</w:t>
      </w:r>
    </w:p>
    <w:p w:rsidR="00444025" w:rsidRDefault="00367C49" w:rsidP="00367C49">
      <w:pPr>
        <w:numPr>
          <w:ilvl w:val="0"/>
          <w:numId w:val="6"/>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Державні будівельні норми “</w:t>
      </w:r>
      <w:proofErr w:type="spellStart"/>
      <w:r>
        <w:rPr>
          <w:rFonts w:ascii="Times New Roman" w:eastAsia="Times New Roman" w:hAnsi="Times New Roman" w:cs="Times New Roman"/>
          <w:sz w:val="28"/>
          <w:szCs w:val="28"/>
        </w:rPr>
        <w:t>Інклюзивність</w:t>
      </w:r>
      <w:proofErr w:type="spellEnd"/>
      <w:r>
        <w:rPr>
          <w:rFonts w:ascii="Times New Roman" w:eastAsia="Times New Roman" w:hAnsi="Times New Roman" w:cs="Times New Roman"/>
          <w:sz w:val="28"/>
          <w:szCs w:val="28"/>
        </w:rPr>
        <w:t xml:space="preserve"> будівель та споруд” (</w:t>
      </w:r>
      <w:hyperlink r:id="rId9">
        <w:r>
          <w:rPr>
            <w:rFonts w:ascii="Times New Roman" w:eastAsia="Times New Roman" w:hAnsi="Times New Roman" w:cs="Times New Roman"/>
            <w:color w:val="1155CC"/>
            <w:sz w:val="28"/>
            <w:szCs w:val="28"/>
            <w:u w:val="single"/>
          </w:rPr>
          <w:t>https://dreamdim.ua/wp-content/uploads/2019/03/DBN-V2240-2018.pdf</w:t>
        </w:r>
      </w:hyperlink>
      <w:r>
        <w:rPr>
          <w:rFonts w:ascii="Times New Roman" w:eastAsia="Times New Roman" w:hAnsi="Times New Roman" w:cs="Times New Roman"/>
          <w:sz w:val="28"/>
          <w:szCs w:val="28"/>
        </w:rPr>
        <w:t xml:space="preserve">). </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Згідно положень Національної стратегії зі створення </w:t>
      </w:r>
      <w:proofErr w:type="spellStart"/>
      <w:r>
        <w:rPr>
          <w:rFonts w:ascii="Times New Roman" w:eastAsia="Times New Roman" w:hAnsi="Times New Roman" w:cs="Times New Roman"/>
          <w:sz w:val="28"/>
          <w:szCs w:val="28"/>
        </w:rPr>
        <w:t>безбар’єрного</w:t>
      </w:r>
      <w:proofErr w:type="spellEnd"/>
      <w:r>
        <w:rPr>
          <w:rFonts w:ascii="Times New Roman" w:eastAsia="Times New Roman" w:hAnsi="Times New Roman" w:cs="Times New Roman"/>
          <w:sz w:val="28"/>
          <w:szCs w:val="28"/>
        </w:rPr>
        <w:t xml:space="preserve"> простору в Україні до 2030 року, освітня </w:t>
      </w:r>
      <w:proofErr w:type="spellStart"/>
      <w:r>
        <w:rPr>
          <w:rFonts w:ascii="Times New Roman" w:eastAsia="Times New Roman" w:hAnsi="Times New Roman" w:cs="Times New Roman"/>
          <w:sz w:val="28"/>
          <w:szCs w:val="28"/>
        </w:rPr>
        <w:t>безбар’єрність</w:t>
      </w:r>
      <w:proofErr w:type="spellEnd"/>
      <w:r>
        <w:rPr>
          <w:rFonts w:ascii="Times New Roman" w:eastAsia="Times New Roman" w:hAnsi="Times New Roman" w:cs="Times New Roman"/>
          <w:sz w:val="28"/>
          <w:szCs w:val="28"/>
        </w:rPr>
        <w:t xml:space="preserve"> належить до пріоритетних напрямків і включає в себе:</w:t>
      </w:r>
    </w:p>
    <w:p w:rsidR="00444025" w:rsidRDefault="00367C49" w:rsidP="00367C49">
      <w:pPr>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сприятливого освітнього середовища для осіб, що належать до цільової ау</w:t>
      </w:r>
      <w:r>
        <w:rPr>
          <w:rFonts w:ascii="Times New Roman" w:eastAsia="Times New Roman" w:hAnsi="Times New Roman" w:cs="Times New Roman"/>
          <w:sz w:val="28"/>
          <w:szCs w:val="28"/>
        </w:rPr>
        <w:t xml:space="preserve">диторії Стратегії (освітня </w:t>
      </w:r>
      <w:proofErr w:type="spellStart"/>
      <w:r>
        <w:rPr>
          <w:rFonts w:ascii="Times New Roman" w:eastAsia="Times New Roman" w:hAnsi="Times New Roman" w:cs="Times New Roman"/>
          <w:sz w:val="28"/>
          <w:szCs w:val="28"/>
        </w:rPr>
        <w:t>безбар’єрність</w:t>
      </w:r>
      <w:proofErr w:type="spellEnd"/>
      <w:r>
        <w:rPr>
          <w:rFonts w:ascii="Times New Roman" w:eastAsia="Times New Roman" w:hAnsi="Times New Roman" w:cs="Times New Roman"/>
          <w:sz w:val="28"/>
          <w:szCs w:val="28"/>
        </w:rPr>
        <w:t>).</w:t>
      </w:r>
    </w:p>
    <w:p w:rsidR="00444025" w:rsidRDefault="00367C49" w:rsidP="00367C49">
      <w:pPr>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Усунення фізичних бар’єрів для забезпечення безперешкодного доступу до освітніх послуг.</w:t>
      </w:r>
    </w:p>
    <w:p w:rsidR="00444025" w:rsidRDefault="00367C49" w:rsidP="00367C49">
      <w:pPr>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безперешкодного доступу до інформаційних ресурсів закладів освіти, в </w:t>
      </w:r>
      <w:proofErr w:type="spellStart"/>
      <w:r>
        <w:rPr>
          <w:rFonts w:ascii="Times New Roman" w:eastAsia="Times New Roman" w:hAnsi="Times New Roman" w:cs="Times New Roman"/>
          <w:sz w:val="28"/>
          <w:szCs w:val="28"/>
        </w:rPr>
        <w:t>т.ч</w:t>
      </w:r>
      <w:proofErr w:type="spellEnd"/>
      <w:r>
        <w:rPr>
          <w:rFonts w:ascii="Times New Roman" w:eastAsia="Times New Roman" w:hAnsi="Times New Roman" w:cs="Times New Roman"/>
          <w:sz w:val="28"/>
          <w:szCs w:val="28"/>
        </w:rPr>
        <w:t>. з використанням допоміжних технологій</w:t>
      </w:r>
      <w:r>
        <w:rPr>
          <w:rFonts w:ascii="Times New Roman" w:eastAsia="Times New Roman" w:hAnsi="Times New Roman" w:cs="Times New Roman"/>
          <w:sz w:val="28"/>
          <w:szCs w:val="28"/>
        </w:rPr>
        <w:t xml:space="preserve"> (інформаційна та цифрова </w:t>
      </w:r>
      <w:proofErr w:type="spellStart"/>
      <w:r>
        <w:rPr>
          <w:rFonts w:ascii="Times New Roman" w:eastAsia="Times New Roman" w:hAnsi="Times New Roman" w:cs="Times New Roman"/>
          <w:sz w:val="28"/>
          <w:szCs w:val="28"/>
        </w:rPr>
        <w:t>безбар’єрність</w:t>
      </w:r>
      <w:proofErr w:type="spellEnd"/>
      <w:r>
        <w:rPr>
          <w:rFonts w:ascii="Times New Roman" w:eastAsia="Times New Roman" w:hAnsi="Times New Roman" w:cs="Times New Roman"/>
          <w:sz w:val="28"/>
          <w:szCs w:val="28"/>
        </w:rPr>
        <w:t>).</w:t>
      </w:r>
    </w:p>
    <w:p w:rsidR="00444025" w:rsidRDefault="00367C49" w:rsidP="00367C49">
      <w:pPr>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Створення умов для працевлаштування представників цільових аудиторій Стратегії (економічна </w:t>
      </w:r>
      <w:proofErr w:type="spellStart"/>
      <w:r>
        <w:rPr>
          <w:rFonts w:ascii="Times New Roman" w:eastAsia="Times New Roman" w:hAnsi="Times New Roman" w:cs="Times New Roman"/>
          <w:sz w:val="28"/>
          <w:szCs w:val="28"/>
        </w:rPr>
        <w:t>безбар’єрність</w:t>
      </w:r>
      <w:proofErr w:type="spellEnd"/>
      <w:r>
        <w:rPr>
          <w:rFonts w:ascii="Times New Roman" w:eastAsia="Times New Roman" w:hAnsi="Times New Roman" w:cs="Times New Roman"/>
          <w:sz w:val="28"/>
          <w:szCs w:val="28"/>
        </w:rPr>
        <w:t>).</w:t>
      </w:r>
    </w:p>
    <w:p w:rsidR="00444025" w:rsidRDefault="00367C49" w:rsidP="00367C49">
      <w:pPr>
        <w:numPr>
          <w:ilvl w:val="0"/>
          <w:numId w:val="12"/>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активної громадянської позиції в учасників та учасниць освітнього процесу (суспільна та громад</w:t>
      </w:r>
      <w:r>
        <w:rPr>
          <w:rFonts w:ascii="Times New Roman" w:eastAsia="Times New Roman" w:hAnsi="Times New Roman" w:cs="Times New Roman"/>
          <w:sz w:val="28"/>
          <w:szCs w:val="28"/>
        </w:rPr>
        <w:t xml:space="preserve">янська </w:t>
      </w:r>
      <w:proofErr w:type="spellStart"/>
      <w:r>
        <w:rPr>
          <w:rFonts w:ascii="Times New Roman" w:eastAsia="Times New Roman" w:hAnsi="Times New Roman" w:cs="Times New Roman"/>
          <w:sz w:val="28"/>
          <w:szCs w:val="28"/>
        </w:rPr>
        <w:t>безбар’єрність</w:t>
      </w:r>
      <w:proofErr w:type="spellEnd"/>
      <w:r>
        <w:rPr>
          <w:rFonts w:ascii="Times New Roman" w:eastAsia="Times New Roman" w:hAnsi="Times New Roman" w:cs="Times New Roman"/>
          <w:sz w:val="28"/>
          <w:szCs w:val="28"/>
        </w:rPr>
        <w:t>).</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Крім того,, Політика стійкості та сталого розвитку ДВНЗ «Ужгородський національний університет» базується на застосуванні комплексу принципів, одним з яких є </w:t>
      </w:r>
      <w:proofErr w:type="spellStart"/>
      <w:r>
        <w:rPr>
          <w:rFonts w:ascii="Times New Roman" w:eastAsia="Times New Roman" w:hAnsi="Times New Roman" w:cs="Times New Roman"/>
          <w:sz w:val="28"/>
          <w:szCs w:val="28"/>
        </w:rPr>
        <w:t>інклюзивність</w:t>
      </w:r>
      <w:proofErr w:type="spellEnd"/>
      <w:r>
        <w:rPr>
          <w:rFonts w:ascii="Times New Roman" w:eastAsia="Times New Roman" w:hAnsi="Times New Roman" w:cs="Times New Roman"/>
          <w:sz w:val="28"/>
          <w:szCs w:val="28"/>
        </w:rPr>
        <w:t>.</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Виходячи з вищезазначеного, а також враховуючи, що заклади вищої освіти готують фахівців, які працюватимуть з людьми з інвалідністю, особами похилого віку, батьками з дітьми до 6 років та молоддю, реалізація всіх напрямків </w:t>
      </w:r>
      <w:proofErr w:type="spellStart"/>
      <w:r>
        <w:rPr>
          <w:rFonts w:ascii="Times New Roman" w:eastAsia="Times New Roman" w:hAnsi="Times New Roman" w:cs="Times New Roman"/>
          <w:sz w:val="28"/>
          <w:szCs w:val="28"/>
        </w:rPr>
        <w:t>безбар’єрності</w:t>
      </w:r>
      <w:proofErr w:type="spellEnd"/>
      <w:r>
        <w:rPr>
          <w:rFonts w:ascii="Times New Roman" w:eastAsia="Times New Roman" w:hAnsi="Times New Roman" w:cs="Times New Roman"/>
          <w:sz w:val="28"/>
          <w:szCs w:val="28"/>
        </w:rPr>
        <w:t xml:space="preserve"> дасть змогу масшта</w:t>
      </w:r>
      <w:r>
        <w:rPr>
          <w:rFonts w:ascii="Times New Roman" w:eastAsia="Times New Roman" w:hAnsi="Times New Roman" w:cs="Times New Roman"/>
          <w:sz w:val="28"/>
          <w:szCs w:val="28"/>
        </w:rPr>
        <w:t xml:space="preserve">бувати кращі практики. забезпечити рівний доступ цільових аудиторій до різного роду послуг, сформувати розуміння </w:t>
      </w:r>
      <w:proofErr w:type="spellStart"/>
      <w:r>
        <w:rPr>
          <w:rFonts w:ascii="Times New Roman" w:eastAsia="Times New Roman" w:hAnsi="Times New Roman" w:cs="Times New Roman"/>
          <w:sz w:val="28"/>
          <w:szCs w:val="28"/>
        </w:rPr>
        <w:t>безбар’єрності</w:t>
      </w:r>
      <w:proofErr w:type="spellEnd"/>
      <w:r>
        <w:rPr>
          <w:rFonts w:ascii="Times New Roman" w:eastAsia="Times New Roman" w:hAnsi="Times New Roman" w:cs="Times New Roman"/>
          <w:sz w:val="28"/>
          <w:szCs w:val="28"/>
        </w:rPr>
        <w:t xml:space="preserve"> як суспільної норми.</w:t>
      </w:r>
    </w:p>
    <w:p w:rsidR="00444025" w:rsidRDefault="00367C49" w:rsidP="00367C49">
      <w:pPr>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терміни та їх визначення:</w:t>
      </w:r>
    </w:p>
    <w:p w:rsidR="00444025" w:rsidRDefault="00367C49" w:rsidP="00367C49">
      <w:pPr>
        <w:numPr>
          <w:ilvl w:val="0"/>
          <w:numId w:val="10"/>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безбар’єрність</w:t>
      </w:r>
      <w:proofErr w:type="spellEnd"/>
      <w:r>
        <w:rPr>
          <w:rFonts w:ascii="Times New Roman" w:eastAsia="Times New Roman" w:hAnsi="Times New Roman" w:cs="Times New Roman"/>
          <w:sz w:val="28"/>
          <w:szCs w:val="28"/>
        </w:rPr>
        <w:t xml:space="preserve"> - загальний підхід до формування та імплементації державно</w:t>
      </w:r>
      <w:r>
        <w:rPr>
          <w:rFonts w:ascii="Times New Roman" w:eastAsia="Times New Roman" w:hAnsi="Times New Roman" w:cs="Times New Roman"/>
          <w:sz w:val="28"/>
          <w:szCs w:val="28"/>
        </w:rPr>
        <w:t>ї політики для забезпечення безперешкодного доступу всіх груп населення до різних сфер життєдіяльності;</w:t>
      </w:r>
    </w:p>
    <w:p w:rsidR="00444025" w:rsidRDefault="00367C49" w:rsidP="00367C49">
      <w:pPr>
        <w:numPr>
          <w:ilvl w:val="0"/>
          <w:numId w:val="1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доступність - забезпечення рівного доступу всім групам населення до фізичного оточення, транспорту, інформації та зв’язку, інформаційно-комунікаційних т</w:t>
      </w:r>
      <w:r>
        <w:rPr>
          <w:rFonts w:ascii="Times New Roman" w:eastAsia="Times New Roman" w:hAnsi="Times New Roman" w:cs="Times New Roman"/>
          <w:sz w:val="28"/>
          <w:szCs w:val="28"/>
        </w:rPr>
        <w:t>ехнологій і систем, а також до інших об’єктів та послуг, як у міських, так і в сільських районах;</w:t>
      </w:r>
    </w:p>
    <w:p w:rsidR="00444025" w:rsidRDefault="00367C49" w:rsidP="00367C49">
      <w:pPr>
        <w:numPr>
          <w:ilvl w:val="0"/>
          <w:numId w:val="1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інклюзивне освітнє середовище - сукупність умов, способів і засобів їх реалізації для спільного навчання, виховання та розвитку здобувачів освіти з урахування</w:t>
      </w:r>
      <w:r>
        <w:rPr>
          <w:rFonts w:ascii="Times New Roman" w:eastAsia="Times New Roman" w:hAnsi="Times New Roman" w:cs="Times New Roman"/>
          <w:sz w:val="28"/>
          <w:szCs w:val="28"/>
          <w:highlight w:val="white"/>
        </w:rPr>
        <w:t>м їхніх потреб та можливостей;</w:t>
      </w:r>
    </w:p>
    <w:p w:rsidR="00444025" w:rsidRDefault="00367C49" w:rsidP="00367C49">
      <w:pPr>
        <w:numPr>
          <w:ilvl w:val="0"/>
          <w:numId w:val="10"/>
        </w:num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highlight w:val="white"/>
        </w:rPr>
        <w:t>маломобільні</w:t>
      </w:r>
      <w:proofErr w:type="spellEnd"/>
      <w:r>
        <w:rPr>
          <w:rFonts w:ascii="Times New Roman" w:eastAsia="Times New Roman" w:hAnsi="Times New Roman" w:cs="Times New Roman"/>
          <w:sz w:val="28"/>
          <w:szCs w:val="28"/>
          <w:highlight w:val="white"/>
        </w:rPr>
        <w:t xml:space="preserve"> групи населення - особи, які відчувають труднощі при самостійному пересуванні, одержанні послуги, необхідної інформації або при орієнтуванні у просторі, зокрема особи з інвалідністю, особи з тимчасовим порушенням</w:t>
      </w:r>
      <w:r>
        <w:rPr>
          <w:rFonts w:ascii="Times New Roman" w:eastAsia="Times New Roman" w:hAnsi="Times New Roman" w:cs="Times New Roman"/>
          <w:sz w:val="28"/>
          <w:szCs w:val="28"/>
          <w:highlight w:val="white"/>
        </w:rPr>
        <w:t xml:space="preserve"> здоров’я, вагітні жінки, громадяни похилого віку, особи з дитячими візками;</w:t>
      </w:r>
    </w:p>
    <w:p w:rsidR="00444025" w:rsidRDefault="00367C49" w:rsidP="00367C49">
      <w:pPr>
        <w:numPr>
          <w:ilvl w:val="0"/>
          <w:numId w:val="1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особа з інвалідністю - повнолітня особа зі стійким обмеженням життєдіяльності, якій у порядку, визначеному законодавством, встановлено інвалідність;</w:t>
      </w:r>
    </w:p>
    <w:p w:rsidR="00444025" w:rsidRDefault="00367C49" w:rsidP="00367C49">
      <w:pPr>
        <w:numPr>
          <w:ilvl w:val="0"/>
          <w:numId w:val="10"/>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універсальний дизайн - дизайн </w:t>
      </w:r>
      <w:r>
        <w:rPr>
          <w:rFonts w:ascii="Times New Roman" w:eastAsia="Times New Roman" w:hAnsi="Times New Roman" w:cs="Times New Roman"/>
          <w:sz w:val="28"/>
          <w:szCs w:val="28"/>
        </w:rPr>
        <w:t xml:space="preserve">об’єктів фізичного оточення, програм та послуг, максимально придатний для використання </w:t>
      </w:r>
      <w:r>
        <w:rPr>
          <w:rFonts w:ascii="Times New Roman" w:eastAsia="Times New Roman" w:hAnsi="Times New Roman" w:cs="Times New Roman"/>
          <w:sz w:val="28"/>
          <w:szCs w:val="28"/>
        </w:rPr>
        <w:lastRenderedPageBreak/>
        <w:t>всіма групами населення без необхідності додаткової адаптації чи спеціального дизайну. Універсальний дизайн не виключає допоміжних пристроїв для конкретних груп осіб з і</w:t>
      </w:r>
      <w:r>
        <w:rPr>
          <w:rFonts w:ascii="Times New Roman" w:eastAsia="Times New Roman" w:hAnsi="Times New Roman" w:cs="Times New Roman"/>
          <w:sz w:val="28"/>
          <w:szCs w:val="28"/>
        </w:rPr>
        <w:t>нвалідністю, де це необхідно.</w:t>
      </w: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Очікувані результати:</w:t>
      </w:r>
    </w:p>
    <w:p w:rsidR="00444025" w:rsidRDefault="00367C49" w:rsidP="00367C49">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отримати безперешкодний доступ до навчальних корпусів та гуртожитків;</w:t>
      </w:r>
    </w:p>
    <w:p w:rsidR="00444025" w:rsidRDefault="00367C49" w:rsidP="00367C49">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отримувати інформацію у найзручніший спосіб;</w:t>
      </w:r>
    </w:p>
    <w:p w:rsidR="00444025" w:rsidRDefault="00367C49" w:rsidP="00367C49">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отримати спрощений доступ до </w:t>
      </w:r>
      <w:proofErr w:type="spellStart"/>
      <w:r>
        <w:rPr>
          <w:rFonts w:ascii="Times New Roman" w:eastAsia="Times New Roman" w:hAnsi="Times New Roman" w:cs="Times New Roman"/>
          <w:sz w:val="28"/>
          <w:szCs w:val="28"/>
        </w:rPr>
        <w:t>цифровізованих</w:t>
      </w:r>
      <w:proofErr w:type="spellEnd"/>
      <w:r>
        <w:rPr>
          <w:rFonts w:ascii="Times New Roman" w:eastAsia="Times New Roman" w:hAnsi="Times New Roman" w:cs="Times New Roman"/>
          <w:sz w:val="28"/>
          <w:szCs w:val="28"/>
        </w:rPr>
        <w:t xml:space="preserve"> та аналогових державних та соціальних послуг;</w:t>
      </w:r>
    </w:p>
    <w:p w:rsidR="00444025" w:rsidRDefault="00367C49" w:rsidP="00367C49">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отримати рівні умови участі у всіх сферах;</w:t>
      </w:r>
    </w:p>
    <w:p w:rsidR="00444025" w:rsidRDefault="00367C49" w:rsidP="00367C49">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отримати умови та рівні можливості для занять фізичною культурою та спортом;</w:t>
      </w:r>
    </w:p>
    <w:p w:rsidR="00444025" w:rsidRDefault="00367C49" w:rsidP="00367C49">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брати участь у громадській діяльності;</w:t>
      </w:r>
    </w:p>
    <w:p w:rsidR="00444025" w:rsidRDefault="00367C49" w:rsidP="00367C49">
      <w:pPr>
        <w:numPr>
          <w:ilvl w:val="0"/>
          <w:numId w:val="8"/>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отримати рівні можливості та вільний доступ до освіти.</w:t>
      </w:r>
    </w:p>
    <w:p w:rsidR="00444025" w:rsidRDefault="00367C49" w:rsidP="00367C49">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160"/>
        <w:jc w:val="both"/>
        <w:rPr>
          <w:rFonts w:ascii="Times New Roman" w:eastAsia="Times New Roman" w:hAnsi="Times New Roman" w:cs="Times New Roman"/>
          <w:color w:val="333333"/>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Досягнення цих результатів сприятиме становленню </w:t>
      </w:r>
      <w:proofErr w:type="spellStart"/>
      <w:r>
        <w:rPr>
          <w:rFonts w:ascii="Times New Roman" w:eastAsia="Times New Roman" w:hAnsi="Times New Roman" w:cs="Times New Roman"/>
          <w:color w:val="333333"/>
          <w:sz w:val="28"/>
          <w:szCs w:val="28"/>
        </w:rPr>
        <w:t>безбар’єрності</w:t>
      </w:r>
      <w:proofErr w:type="spellEnd"/>
      <w:r>
        <w:rPr>
          <w:rFonts w:ascii="Times New Roman" w:eastAsia="Times New Roman" w:hAnsi="Times New Roman" w:cs="Times New Roman"/>
          <w:color w:val="333333"/>
          <w:sz w:val="28"/>
          <w:szCs w:val="28"/>
        </w:rPr>
        <w:t xml:space="preserve"> як наскрізного принципу діяльності ДВНЗ “Ужгородський національний університет” та включатиметься до всіх довгострокових програм.</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Аналіз поточної ситуації та пропоновані рішення</w:t>
      </w:r>
    </w:p>
    <w:p w:rsidR="00444025" w:rsidRDefault="00444025" w:rsidP="00367C49">
      <w:pPr>
        <w:jc w:val="both"/>
        <w:rPr>
          <w:rFonts w:ascii="Times New Roman" w:eastAsia="Times New Roman" w:hAnsi="Times New Roman" w:cs="Times New Roman"/>
          <w:b/>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Фізична </w:t>
      </w:r>
      <w:proofErr w:type="spellStart"/>
      <w:r>
        <w:rPr>
          <w:rFonts w:ascii="Times New Roman" w:eastAsia="Times New Roman" w:hAnsi="Times New Roman" w:cs="Times New Roman"/>
          <w:b/>
          <w:sz w:val="28"/>
          <w:szCs w:val="28"/>
        </w:rPr>
        <w:t>безбар’єрність</w:t>
      </w:r>
      <w:proofErr w:type="spellEnd"/>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ДВНЗ “УжНУ” складається з навчальних корпусів та гуртожитків, які розташовані в різних частинах міста Ужгород. Частина з них знаходяться в історичному ареалі міста. Однак враховуючи їх призначення та виклики війни (збільшення осіб з</w:t>
      </w:r>
      <w:r>
        <w:rPr>
          <w:rFonts w:ascii="Times New Roman" w:eastAsia="Times New Roman" w:hAnsi="Times New Roman" w:cs="Times New Roman"/>
          <w:sz w:val="28"/>
          <w:szCs w:val="28"/>
        </w:rPr>
        <w:t xml:space="preserve"> інвалідністю) необхідність в створенні безперешкодного середовища стає все більш нагальною.</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Прилегла територія.</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безперешкодного пересування </w:t>
      </w:r>
      <w:proofErr w:type="spellStart"/>
      <w:r>
        <w:rPr>
          <w:rFonts w:ascii="Times New Roman" w:eastAsia="Times New Roman" w:hAnsi="Times New Roman" w:cs="Times New Roman"/>
          <w:sz w:val="28"/>
          <w:szCs w:val="28"/>
        </w:rPr>
        <w:t>маломобільних</w:t>
      </w:r>
      <w:proofErr w:type="spellEnd"/>
      <w:r>
        <w:rPr>
          <w:rFonts w:ascii="Times New Roman" w:eastAsia="Times New Roman" w:hAnsi="Times New Roman" w:cs="Times New Roman"/>
          <w:sz w:val="28"/>
          <w:szCs w:val="28"/>
        </w:rPr>
        <w:t xml:space="preserve"> груп населення необхідно облаштування пішохідної частини, яка веде до будівель навчальних корпу</w:t>
      </w:r>
      <w:r>
        <w:rPr>
          <w:rFonts w:ascii="Times New Roman" w:eastAsia="Times New Roman" w:hAnsi="Times New Roman" w:cs="Times New Roman"/>
          <w:sz w:val="28"/>
          <w:szCs w:val="28"/>
        </w:rPr>
        <w:t>сів та гуртожитків.</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Рішення: </w:t>
      </w:r>
      <w:r>
        <w:rPr>
          <w:rFonts w:ascii="Times New Roman" w:eastAsia="Times New Roman" w:hAnsi="Times New Roman" w:cs="Times New Roman"/>
          <w:sz w:val="28"/>
          <w:szCs w:val="28"/>
        </w:rPr>
        <w:t>облаштування пішохідних доріжок відповідно до Державних будівельних норм “</w:t>
      </w:r>
      <w:proofErr w:type="spellStart"/>
      <w:r>
        <w:rPr>
          <w:rFonts w:ascii="Times New Roman" w:eastAsia="Times New Roman" w:hAnsi="Times New Roman" w:cs="Times New Roman"/>
          <w:sz w:val="28"/>
          <w:szCs w:val="28"/>
        </w:rPr>
        <w:t>Інклюзивність</w:t>
      </w:r>
      <w:proofErr w:type="spellEnd"/>
      <w:r>
        <w:rPr>
          <w:rFonts w:ascii="Times New Roman" w:eastAsia="Times New Roman" w:hAnsi="Times New Roman" w:cs="Times New Roman"/>
          <w:sz w:val="28"/>
          <w:szCs w:val="28"/>
        </w:rPr>
        <w:t xml:space="preserve"> будівель та споруд” (ДБН В.2.2-40:2018 - </w:t>
      </w:r>
      <w:hyperlink r:id="rId10">
        <w:r>
          <w:rPr>
            <w:rFonts w:ascii="Times New Roman" w:eastAsia="Times New Roman" w:hAnsi="Times New Roman" w:cs="Times New Roman"/>
            <w:sz w:val="28"/>
            <w:szCs w:val="28"/>
            <w:u w:val="single"/>
          </w:rPr>
          <w:t>https://drea</w:t>
        </w:r>
        <w:r>
          <w:rPr>
            <w:rFonts w:ascii="Times New Roman" w:eastAsia="Times New Roman" w:hAnsi="Times New Roman" w:cs="Times New Roman"/>
            <w:sz w:val="28"/>
            <w:szCs w:val="28"/>
            <w:u w:val="single"/>
          </w:rPr>
          <w:t>mdim.ua/wp-content/uploads/2019/03/DBN-V2240-2018.pdf</w:t>
        </w:r>
      </w:hyperlink>
      <w:r>
        <w:rPr>
          <w:rFonts w:ascii="Times New Roman" w:eastAsia="Times New Roman" w:hAnsi="Times New Roman" w:cs="Times New Roman"/>
          <w:sz w:val="28"/>
          <w:szCs w:val="28"/>
        </w:rPr>
        <w:t>) .</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Сходи та поручні.</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сьогоднішній день в будівлях немає маркування першої та останньої сходинки, а також встановленні поручні не відповідають вимогам </w:t>
      </w:r>
      <w:proofErr w:type="spellStart"/>
      <w:r>
        <w:rPr>
          <w:rFonts w:ascii="Times New Roman" w:eastAsia="Times New Roman" w:hAnsi="Times New Roman" w:cs="Times New Roman"/>
          <w:sz w:val="28"/>
          <w:szCs w:val="28"/>
        </w:rPr>
        <w:t>безбар’єрності</w:t>
      </w:r>
      <w:proofErr w:type="spellEnd"/>
      <w:r>
        <w:rPr>
          <w:rFonts w:ascii="Times New Roman" w:eastAsia="Times New Roman" w:hAnsi="Times New Roman" w:cs="Times New Roman"/>
          <w:sz w:val="28"/>
          <w:szCs w:val="28"/>
        </w:rPr>
        <w:t>.</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numPr>
          <w:ilvl w:val="0"/>
          <w:numId w:val="1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Нанести тактильне </w:t>
      </w:r>
      <w:proofErr w:type="spellStart"/>
      <w:r>
        <w:rPr>
          <w:rFonts w:ascii="Times New Roman" w:eastAsia="Times New Roman" w:hAnsi="Times New Roman" w:cs="Times New Roman"/>
          <w:sz w:val="28"/>
          <w:szCs w:val="28"/>
        </w:rPr>
        <w:t>маркyвання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ребер</w:t>
      </w:r>
      <w:proofErr w:type="spellEnd"/>
      <w:r>
        <w:rPr>
          <w:rFonts w:ascii="Times New Roman" w:eastAsia="Times New Roman" w:hAnsi="Times New Roman" w:cs="Times New Roman"/>
          <w:sz w:val="28"/>
          <w:szCs w:val="28"/>
        </w:rPr>
        <w:t xml:space="preserve"> першої і останньої сходинок сходового </w:t>
      </w:r>
      <w:proofErr w:type="spellStart"/>
      <w:r>
        <w:rPr>
          <w:rFonts w:ascii="Times New Roman" w:eastAsia="Times New Roman" w:hAnsi="Times New Roman" w:cs="Times New Roman"/>
          <w:sz w:val="28"/>
          <w:szCs w:val="28"/>
        </w:rPr>
        <w:t>маршy</w:t>
      </w:r>
      <w:proofErr w:type="spellEnd"/>
      <w:r>
        <w:rPr>
          <w:rFonts w:ascii="Times New Roman" w:eastAsia="Times New Roman" w:hAnsi="Times New Roman" w:cs="Times New Roman"/>
          <w:sz w:val="28"/>
          <w:szCs w:val="28"/>
        </w:rPr>
        <w:t xml:space="preserve">: ширина </w:t>
      </w:r>
      <w:proofErr w:type="spellStart"/>
      <w:r>
        <w:rPr>
          <w:rFonts w:ascii="Times New Roman" w:eastAsia="Times New Roman" w:hAnsi="Times New Roman" w:cs="Times New Roman"/>
          <w:sz w:val="28"/>
          <w:szCs w:val="28"/>
        </w:rPr>
        <w:t>маркyвання</w:t>
      </w:r>
      <w:proofErr w:type="spellEnd"/>
      <w:r>
        <w:rPr>
          <w:rFonts w:ascii="Times New Roman" w:eastAsia="Times New Roman" w:hAnsi="Times New Roman" w:cs="Times New Roman"/>
          <w:sz w:val="28"/>
          <w:szCs w:val="28"/>
        </w:rPr>
        <w:t xml:space="preserve"> гори3онтальної площини ребра – 0,05-0,1 м, вертикальної – 0,03-0,05 м.</w:t>
      </w:r>
    </w:p>
    <w:p w:rsidR="00444025" w:rsidRDefault="00367C49" w:rsidP="00367C49">
      <w:pPr>
        <w:numPr>
          <w:ilvl w:val="0"/>
          <w:numId w:val="1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Всюди, де дозволяє ширина сходів, встановити поручні з обох боків на висоті 0,7 та 0,9 </w:t>
      </w:r>
      <w:r>
        <w:rPr>
          <w:rFonts w:ascii="Times New Roman" w:eastAsia="Times New Roman" w:hAnsi="Times New Roman" w:cs="Times New Roman"/>
          <w:sz w:val="28"/>
          <w:szCs w:val="28"/>
        </w:rPr>
        <w:t xml:space="preserve">м. Діаметр </w:t>
      </w:r>
      <w:proofErr w:type="spellStart"/>
      <w:r>
        <w:rPr>
          <w:rFonts w:ascii="Times New Roman" w:eastAsia="Times New Roman" w:hAnsi="Times New Roman" w:cs="Times New Roman"/>
          <w:sz w:val="28"/>
          <w:szCs w:val="28"/>
        </w:rPr>
        <w:t>трyби</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порyчня</w:t>
      </w:r>
      <w:proofErr w:type="spellEnd"/>
      <w:r>
        <w:rPr>
          <w:rFonts w:ascii="Times New Roman" w:eastAsia="Times New Roman" w:hAnsi="Times New Roman" w:cs="Times New Roman"/>
          <w:sz w:val="28"/>
          <w:szCs w:val="28"/>
        </w:rPr>
        <w:t xml:space="preserve"> 0,035-0,045 м. Завершальні частини </w:t>
      </w:r>
      <w:proofErr w:type="spellStart"/>
      <w:r>
        <w:rPr>
          <w:rFonts w:ascii="Times New Roman" w:eastAsia="Times New Roman" w:hAnsi="Times New Roman" w:cs="Times New Roman"/>
          <w:sz w:val="28"/>
          <w:szCs w:val="28"/>
        </w:rPr>
        <w:t>порyчня</w:t>
      </w:r>
      <w:proofErr w:type="spellEnd"/>
      <w:r>
        <w:rPr>
          <w:rFonts w:ascii="Times New Roman" w:eastAsia="Times New Roman" w:hAnsi="Times New Roman" w:cs="Times New Roman"/>
          <w:sz w:val="28"/>
          <w:szCs w:val="28"/>
        </w:rPr>
        <w:t xml:space="preserve"> і вгорі, і </w:t>
      </w:r>
      <w:proofErr w:type="spellStart"/>
      <w:r>
        <w:rPr>
          <w:rFonts w:ascii="Times New Roman" w:eastAsia="Times New Roman" w:hAnsi="Times New Roman" w:cs="Times New Roman"/>
          <w:sz w:val="28"/>
          <w:szCs w:val="28"/>
        </w:rPr>
        <w:t>внизy</w:t>
      </w:r>
      <w:proofErr w:type="spellEnd"/>
      <w:r>
        <w:rPr>
          <w:rFonts w:ascii="Times New Roman" w:eastAsia="Times New Roman" w:hAnsi="Times New Roman" w:cs="Times New Roman"/>
          <w:sz w:val="28"/>
          <w:szCs w:val="28"/>
        </w:rPr>
        <w:t xml:space="preserve"> повинні </w:t>
      </w:r>
      <w:proofErr w:type="spellStart"/>
      <w:r>
        <w:rPr>
          <w:rFonts w:ascii="Times New Roman" w:eastAsia="Times New Roman" w:hAnsi="Times New Roman" w:cs="Times New Roman"/>
          <w:sz w:val="28"/>
          <w:szCs w:val="28"/>
        </w:rPr>
        <w:t>бyти</w:t>
      </w:r>
      <w:proofErr w:type="spellEnd"/>
      <w:r>
        <w:rPr>
          <w:rFonts w:ascii="Times New Roman" w:eastAsia="Times New Roman" w:hAnsi="Times New Roman" w:cs="Times New Roman"/>
          <w:sz w:val="28"/>
          <w:szCs w:val="28"/>
        </w:rPr>
        <w:t xml:space="preserve"> довші </w:t>
      </w:r>
      <w:proofErr w:type="spellStart"/>
      <w:r>
        <w:rPr>
          <w:rFonts w:ascii="Times New Roman" w:eastAsia="Times New Roman" w:hAnsi="Times New Roman" w:cs="Times New Roman"/>
          <w:sz w:val="28"/>
          <w:szCs w:val="28"/>
        </w:rPr>
        <w:t>маршy</w:t>
      </w:r>
      <w:proofErr w:type="spellEnd"/>
      <w:r>
        <w:rPr>
          <w:rFonts w:ascii="Times New Roman" w:eastAsia="Times New Roman" w:hAnsi="Times New Roman" w:cs="Times New Roman"/>
          <w:sz w:val="28"/>
          <w:szCs w:val="28"/>
        </w:rPr>
        <w:t xml:space="preserve"> або похилої частини </w:t>
      </w:r>
      <w:proofErr w:type="spellStart"/>
      <w:r>
        <w:rPr>
          <w:rFonts w:ascii="Times New Roman" w:eastAsia="Times New Roman" w:hAnsi="Times New Roman" w:cs="Times New Roman"/>
          <w:sz w:val="28"/>
          <w:szCs w:val="28"/>
        </w:rPr>
        <w:t>пандyса</w:t>
      </w:r>
      <w:proofErr w:type="spellEnd"/>
      <w:r>
        <w:rPr>
          <w:rFonts w:ascii="Times New Roman" w:eastAsia="Times New Roman" w:hAnsi="Times New Roman" w:cs="Times New Roman"/>
          <w:sz w:val="28"/>
          <w:szCs w:val="28"/>
        </w:rPr>
        <w:t xml:space="preserve"> на 0,3 м та мати </w:t>
      </w:r>
      <w:proofErr w:type="spellStart"/>
      <w:r>
        <w:rPr>
          <w:rFonts w:ascii="Times New Roman" w:eastAsia="Times New Roman" w:hAnsi="Times New Roman" w:cs="Times New Roman"/>
          <w:sz w:val="28"/>
          <w:szCs w:val="28"/>
        </w:rPr>
        <w:t>заокрyглення</w:t>
      </w:r>
      <w:proofErr w:type="spellEnd"/>
      <w:r>
        <w:rPr>
          <w:rFonts w:ascii="Times New Roman" w:eastAsia="Times New Roman" w:hAnsi="Times New Roman" w:cs="Times New Roman"/>
          <w:sz w:val="28"/>
          <w:szCs w:val="28"/>
        </w:rPr>
        <w:t>.</w:t>
      </w:r>
    </w:p>
    <w:p w:rsidR="00444025" w:rsidRDefault="00367C49" w:rsidP="00367C49">
      <w:pPr>
        <w:numPr>
          <w:ilvl w:val="0"/>
          <w:numId w:val="1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ширини сходів 2,5 м і більше слід додатково передбачати розділові </w:t>
      </w:r>
      <w:proofErr w:type="spellStart"/>
      <w:r>
        <w:rPr>
          <w:rFonts w:ascii="Times New Roman" w:eastAsia="Times New Roman" w:hAnsi="Times New Roman" w:cs="Times New Roman"/>
          <w:sz w:val="28"/>
          <w:szCs w:val="28"/>
        </w:rPr>
        <w:t>порyчні</w:t>
      </w:r>
      <w:proofErr w:type="spellEnd"/>
      <w:r>
        <w:rPr>
          <w:rFonts w:ascii="Times New Roman" w:eastAsia="Times New Roman" w:hAnsi="Times New Roman" w:cs="Times New Roman"/>
          <w:sz w:val="28"/>
          <w:szCs w:val="28"/>
        </w:rPr>
        <w:t>.</w:t>
      </w:r>
    </w:p>
    <w:p w:rsidR="00444025" w:rsidRDefault="00367C49" w:rsidP="00367C49">
      <w:pPr>
        <w:numPr>
          <w:ilvl w:val="0"/>
          <w:numId w:val="13"/>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Поручні п</w:t>
      </w:r>
      <w:r>
        <w:rPr>
          <w:rFonts w:ascii="Times New Roman" w:eastAsia="Times New Roman" w:hAnsi="Times New Roman" w:cs="Times New Roman"/>
          <w:sz w:val="28"/>
          <w:szCs w:val="28"/>
        </w:rPr>
        <w:t>овинні відрізнятися за кольором від стін чи поверхні сходів.</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Будівлі.</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Пандуси та підйомники</w:t>
      </w:r>
    </w:p>
    <w:p w:rsidR="00444025" w:rsidRDefault="00444025" w:rsidP="00367C49">
      <w:pPr>
        <w:jc w:val="both"/>
        <w:rPr>
          <w:rFonts w:ascii="Times New Roman" w:eastAsia="Times New Roman" w:hAnsi="Times New Roman" w:cs="Times New Roman"/>
          <w:b/>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Більшість будівель мають сходи при вході та складаються з кількох поверхів, що потребує встановлення підйомників для забезпечення доступу осіб з інвалідністю та </w:t>
      </w:r>
      <w:r>
        <w:rPr>
          <w:rFonts w:ascii="Times New Roman" w:eastAsia="Times New Roman" w:hAnsi="Times New Roman" w:cs="Times New Roman"/>
          <w:sz w:val="28"/>
          <w:szCs w:val="28"/>
        </w:rPr>
        <w:t xml:space="preserve">інших </w:t>
      </w:r>
      <w:proofErr w:type="spellStart"/>
      <w:r>
        <w:rPr>
          <w:rFonts w:ascii="Times New Roman" w:eastAsia="Times New Roman" w:hAnsi="Times New Roman" w:cs="Times New Roman"/>
          <w:sz w:val="28"/>
          <w:szCs w:val="28"/>
        </w:rPr>
        <w:t>маломобільних</w:t>
      </w:r>
      <w:proofErr w:type="spellEnd"/>
      <w:r>
        <w:rPr>
          <w:rFonts w:ascii="Times New Roman" w:eastAsia="Times New Roman" w:hAnsi="Times New Roman" w:cs="Times New Roman"/>
          <w:sz w:val="28"/>
          <w:szCs w:val="28"/>
        </w:rPr>
        <w:t xml:space="preserve"> груп населення до цих будівель. </w:t>
      </w:r>
    </w:p>
    <w:p w:rsidR="00444025" w:rsidRDefault="00367C49" w:rsidP="00367C49">
      <w:pPr>
        <w:jc w:val="both"/>
        <w:rPr>
          <w:rFonts w:ascii="Times New Roman" w:eastAsia="Times New Roman" w:hAnsi="Times New Roman" w:cs="Times New Roman"/>
          <w:sz w:val="28"/>
          <w:szCs w:val="28"/>
        </w:rPr>
      </w:pPr>
      <w:bookmarkStart w:id="0" w:name="_gjdgxs" w:colFirst="0" w:colLast="0"/>
      <w:bookmarkEnd w:id="0"/>
      <w:r>
        <w:rPr>
          <w:rFonts w:ascii="Times New Roman" w:eastAsia="Times New Roman" w:hAnsi="Times New Roman" w:cs="Times New Roman"/>
          <w:sz w:val="28"/>
          <w:szCs w:val="28"/>
        </w:rPr>
        <w:t xml:space="preserve">Вимоги до пандусів: </w:t>
      </w:r>
    </w:p>
    <w:p w:rsidR="00444025" w:rsidRDefault="00367C49" w:rsidP="00367C49">
      <w:pPr>
        <w:numPr>
          <w:ilvl w:val="0"/>
          <w:numId w:val="2"/>
        </w:numPr>
        <w:jc w:val="both"/>
        <w:rPr>
          <w:rFonts w:ascii="Times New Roman" w:eastAsia="Times New Roman" w:hAnsi="Times New Roman" w:cs="Times New Roman"/>
          <w:sz w:val="28"/>
          <w:szCs w:val="28"/>
        </w:rPr>
      </w:pPr>
      <w:bookmarkStart w:id="1" w:name="_30j0zll" w:colFirst="0" w:colLast="0"/>
      <w:bookmarkEnd w:id="1"/>
      <w:r>
        <w:rPr>
          <w:rFonts w:ascii="Times New Roman" w:eastAsia="Times New Roman" w:hAnsi="Times New Roman" w:cs="Times New Roman"/>
          <w:sz w:val="28"/>
          <w:szCs w:val="28"/>
        </w:rPr>
        <w:t xml:space="preserve">Уклон </w:t>
      </w:r>
      <w:proofErr w:type="spellStart"/>
      <w:r>
        <w:rPr>
          <w:rFonts w:ascii="Times New Roman" w:eastAsia="Times New Roman" w:hAnsi="Times New Roman" w:cs="Times New Roman"/>
          <w:sz w:val="28"/>
          <w:szCs w:val="28"/>
        </w:rPr>
        <w:t>пандyсів</w:t>
      </w:r>
      <w:proofErr w:type="spellEnd"/>
      <w:r>
        <w:rPr>
          <w:rFonts w:ascii="Times New Roman" w:eastAsia="Times New Roman" w:hAnsi="Times New Roman" w:cs="Times New Roman"/>
          <w:sz w:val="28"/>
          <w:szCs w:val="28"/>
        </w:rPr>
        <w:t xml:space="preserve"> на шляхах </w:t>
      </w:r>
      <w:proofErr w:type="spellStart"/>
      <w:r>
        <w:rPr>
          <w:rFonts w:ascii="Times New Roman" w:eastAsia="Times New Roman" w:hAnsi="Times New Roman" w:cs="Times New Roman"/>
          <w:sz w:val="28"/>
          <w:szCs w:val="28"/>
        </w:rPr>
        <w:t>рyхy</w:t>
      </w:r>
      <w:proofErr w:type="spellEnd"/>
      <w:r>
        <w:rPr>
          <w:rFonts w:ascii="Times New Roman" w:eastAsia="Times New Roman" w:hAnsi="Times New Roman" w:cs="Times New Roman"/>
          <w:sz w:val="28"/>
          <w:szCs w:val="28"/>
        </w:rPr>
        <w:t xml:space="preserve"> і біля </w:t>
      </w:r>
      <w:proofErr w:type="spellStart"/>
      <w:r>
        <w:rPr>
          <w:rFonts w:ascii="Times New Roman" w:eastAsia="Times New Roman" w:hAnsi="Times New Roman" w:cs="Times New Roman"/>
          <w:sz w:val="28"/>
          <w:szCs w:val="28"/>
        </w:rPr>
        <w:t>входy</w:t>
      </w:r>
      <w:proofErr w:type="spellEnd"/>
      <w:r>
        <w:rPr>
          <w:rFonts w:ascii="Times New Roman" w:eastAsia="Times New Roman" w:hAnsi="Times New Roman" w:cs="Times New Roman"/>
          <w:sz w:val="28"/>
          <w:szCs w:val="28"/>
        </w:rPr>
        <w:t xml:space="preserve"> до </w:t>
      </w:r>
      <w:proofErr w:type="spellStart"/>
      <w:r>
        <w:rPr>
          <w:rFonts w:ascii="Times New Roman" w:eastAsia="Times New Roman" w:hAnsi="Times New Roman" w:cs="Times New Roman"/>
          <w:sz w:val="28"/>
          <w:szCs w:val="28"/>
        </w:rPr>
        <w:t>бyдівлі</w:t>
      </w:r>
      <w:proofErr w:type="spellEnd"/>
      <w:r>
        <w:rPr>
          <w:rFonts w:ascii="Times New Roman" w:eastAsia="Times New Roman" w:hAnsi="Times New Roman" w:cs="Times New Roman"/>
          <w:sz w:val="28"/>
          <w:szCs w:val="28"/>
        </w:rPr>
        <w:t xml:space="preserve"> повинен </w:t>
      </w:r>
      <w:proofErr w:type="spellStart"/>
      <w:r>
        <w:rPr>
          <w:rFonts w:ascii="Times New Roman" w:eastAsia="Times New Roman" w:hAnsi="Times New Roman" w:cs="Times New Roman"/>
          <w:sz w:val="28"/>
          <w:szCs w:val="28"/>
        </w:rPr>
        <w:t>бyти</w:t>
      </w:r>
      <w:proofErr w:type="spellEnd"/>
      <w:r>
        <w:rPr>
          <w:rFonts w:ascii="Times New Roman" w:eastAsia="Times New Roman" w:hAnsi="Times New Roman" w:cs="Times New Roman"/>
          <w:sz w:val="28"/>
          <w:szCs w:val="28"/>
        </w:rPr>
        <w:t xml:space="preserve"> не більше 8 % (1:12), на коротких проміжках при перепаді висот поверхні на шляхах </w:t>
      </w:r>
      <w:proofErr w:type="spellStart"/>
      <w:r>
        <w:rPr>
          <w:rFonts w:ascii="Times New Roman" w:eastAsia="Times New Roman" w:hAnsi="Times New Roman" w:cs="Times New Roman"/>
          <w:sz w:val="28"/>
          <w:szCs w:val="28"/>
        </w:rPr>
        <w:t>рyхy</w:t>
      </w:r>
      <w:proofErr w:type="spellEnd"/>
      <w:r>
        <w:rPr>
          <w:rFonts w:ascii="Times New Roman" w:eastAsia="Times New Roman" w:hAnsi="Times New Roman" w:cs="Times New Roman"/>
          <w:sz w:val="28"/>
          <w:szCs w:val="28"/>
        </w:rPr>
        <w:t xml:space="preserve"> до 0,2 м і на з’їзді з </w:t>
      </w:r>
      <w:proofErr w:type="spellStart"/>
      <w:r>
        <w:rPr>
          <w:rFonts w:ascii="Times New Roman" w:eastAsia="Times New Roman" w:hAnsi="Times New Roman" w:cs="Times New Roman"/>
          <w:sz w:val="28"/>
          <w:szCs w:val="28"/>
        </w:rPr>
        <w:t>тротy</w:t>
      </w:r>
      <w:r>
        <w:rPr>
          <w:rFonts w:ascii="Times New Roman" w:eastAsia="Times New Roman" w:hAnsi="Times New Roman" w:cs="Times New Roman"/>
          <w:sz w:val="28"/>
          <w:szCs w:val="28"/>
        </w:rPr>
        <w:t>арy</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проїзнy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частинy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yклон</w:t>
      </w:r>
      <w:proofErr w:type="spellEnd"/>
      <w:r>
        <w:rPr>
          <w:rFonts w:ascii="Times New Roman" w:eastAsia="Times New Roman" w:hAnsi="Times New Roman" w:cs="Times New Roman"/>
          <w:sz w:val="28"/>
          <w:szCs w:val="28"/>
        </w:rPr>
        <w:t xml:space="preserve"> приймається 10 % (1:10). Ширина </w:t>
      </w:r>
      <w:proofErr w:type="spellStart"/>
      <w:r>
        <w:rPr>
          <w:rFonts w:ascii="Times New Roman" w:eastAsia="Times New Roman" w:hAnsi="Times New Roman" w:cs="Times New Roman"/>
          <w:sz w:val="28"/>
          <w:szCs w:val="28"/>
        </w:rPr>
        <w:t>пандyса</w:t>
      </w:r>
      <w:proofErr w:type="spellEnd"/>
      <w:r>
        <w:rPr>
          <w:rFonts w:ascii="Times New Roman" w:eastAsia="Times New Roman" w:hAnsi="Times New Roman" w:cs="Times New Roman"/>
          <w:sz w:val="28"/>
          <w:szCs w:val="28"/>
        </w:rPr>
        <w:t xml:space="preserve"> повинна </w:t>
      </w:r>
      <w:proofErr w:type="spellStart"/>
      <w:r>
        <w:rPr>
          <w:rFonts w:ascii="Times New Roman" w:eastAsia="Times New Roman" w:hAnsi="Times New Roman" w:cs="Times New Roman"/>
          <w:sz w:val="28"/>
          <w:szCs w:val="28"/>
        </w:rPr>
        <w:t>бyти</w:t>
      </w:r>
      <w:proofErr w:type="spellEnd"/>
      <w:r>
        <w:rPr>
          <w:rFonts w:ascii="Times New Roman" w:eastAsia="Times New Roman" w:hAnsi="Times New Roman" w:cs="Times New Roman"/>
          <w:sz w:val="28"/>
          <w:szCs w:val="28"/>
        </w:rPr>
        <w:t xml:space="preserve"> в просвіті за однобічним </w:t>
      </w:r>
      <w:proofErr w:type="spellStart"/>
      <w:r>
        <w:rPr>
          <w:rFonts w:ascii="Times New Roman" w:eastAsia="Times New Roman" w:hAnsi="Times New Roman" w:cs="Times New Roman"/>
          <w:sz w:val="28"/>
          <w:szCs w:val="28"/>
        </w:rPr>
        <w:t>рyхом</w:t>
      </w:r>
      <w:proofErr w:type="spellEnd"/>
      <w:r>
        <w:rPr>
          <w:rFonts w:ascii="Times New Roman" w:eastAsia="Times New Roman" w:hAnsi="Times New Roman" w:cs="Times New Roman"/>
          <w:sz w:val="28"/>
          <w:szCs w:val="28"/>
        </w:rPr>
        <w:t xml:space="preserve"> 1,2 м, за двобічним – 1,8 м. </w:t>
      </w:r>
      <w:r>
        <w:rPr>
          <w:rFonts w:ascii="Times New Roman" w:eastAsia="Times New Roman" w:hAnsi="Times New Roman" w:cs="Times New Roman"/>
          <w:sz w:val="28"/>
          <w:szCs w:val="28"/>
        </w:rPr>
        <w:lastRenderedPageBreak/>
        <w:t xml:space="preserve">Максимальна висота одного </w:t>
      </w:r>
      <w:proofErr w:type="spellStart"/>
      <w:r>
        <w:rPr>
          <w:rFonts w:ascii="Times New Roman" w:eastAsia="Times New Roman" w:hAnsi="Times New Roman" w:cs="Times New Roman"/>
          <w:sz w:val="28"/>
          <w:szCs w:val="28"/>
        </w:rPr>
        <w:t>підйомy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пандyса</w:t>
      </w:r>
      <w:proofErr w:type="spellEnd"/>
      <w:r>
        <w:rPr>
          <w:rFonts w:ascii="Times New Roman" w:eastAsia="Times New Roman" w:hAnsi="Times New Roman" w:cs="Times New Roman"/>
          <w:sz w:val="28"/>
          <w:szCs w:val="28"/>
        </w:rPr>
        <w:t xml:space="preserve"> не повинна </w:t>
      </w:r>
      <w:proofErr w:type="spellStart"/>
      <w:r>
        <w:rPr>
          <w:rFonts w:ascii="Times New Roman" w:eastAsia="Times New Roman" w:hAnsi="Times New Roman" w:cs="Times New Roman"/>
          <w:sz w:val="28"/>
          <w:szCs w:val="28"/>
        </w:rPr>
        <w:t>перевищyвати</w:t>
      </w:r>
      <w:proofErr w:type="spellEnd"/>
      <w:r>
        <w:rPr>
          <w:rFonts w:ascii="Times New Roman" w:eastAsia="Times New Roman" w:hAnsi="Times New Roman" w:cs="Times New Roman"/>
          <w:sz w:val="28"/>
          <w:szCs w:val="28"/>
        </w:rPr>
        <w:t xml:space="preserve"> 0,8 м. Після кожного </w:t>
      </w:r>
      <w:proofErr w:type="spellStart"/>
      <w:r>
        <w:rPr>
          <w:rFonts w:ascii="Times New Roman" w:eastAsia="Times New Roman" w:hAnsi="Times New Roman" w:cs="Times New Roman"/>
          <w:sz w:val="28"/>
          <w:szCs w:val="28"/>
        </w:rPr>
        <w:t>підйомy</w:t>
      </w:r>
      <w:proofErr w:type="spellEnd"/>
      <w:r>
        <w:rPr>
          <w:rFonts w:ascii="Times New Roman" w:eastAsia="Times New Roman" w:hAnsi="Times New Roman" w:cs="Times New Roman"/>
          <w:sz w:val="28"/>
          <w:szCs w:val="28"/>
        </w:rPr>
        <w:t xml:space="preserve"> необхідне </w:t>
      </w:r>
      <w:proofErr w:type="spellStart"/>
      <w:r>
        <w:rPr>
          <w:rFonts w:ascii="Times New Roman" w:eastAsia="Times New Roman" w:hAnsi="Times New Roman" w:cs="Times New Roman"/>
          <w:sz w:val="28"/>
          <w:szCs w:val="28"/>
        </w:rPr>
        <w:t>влаштовyв</w:t>
      </w:r>
      <w:r>
        <w:rPr>
          <w:rFonts w:ascii="Times New Roman" w:eastAsia="Times New Roman" w:hAnsi="Times New Roman" w:cs="Times New Roman"/>
          <w:sz w:val="28"/>
          <w:szCs w:val="28"/>
        </w:rPr>
        <w:t>ання</w:t>
      </w:r>
      <w:proofErr w:type="spellEnd"/>
      <w:r>
        <w:rPr>
          <w:rFonts w:ascii="Times New Roman" w:eastAsia="Times New Roman" w:hAnsi="Times New Roman" w:cs="Times New Roman"/>
          <w:sz w:val="28"/>
          <w:szCs w:val="28"/>
        </w:rPr>
        <w:t xml:space="preserve"> горизонтальних площадок глибиною не менше 1,5 м. У виняткових випадках </w:t>
      </w:r>
      <w:proofErr w:type="spellStart"/>
      <w:r>
        <w:rPr>
          <w:rFonts w:ascii="Times New Roman" w:eastAsia="Times New Roman" w:hAnsi="Times New Roman" w:cs="Times New Roman"/>
          <w:sz w:val="28"/>
          <w:szCs w:val="28"/>
        </w:rPr>
        <w:t>допyскається</w:t>
      </w:r>
      <w:proofErr w:type="spellEnd"/>
      <w:r>
        <w:rPr>
          <w:rFonts w:ascii="Times New Roman" w:eastAsia="Times New Roman" w:hAnsi="Times New Roman" w:cs="Times New Roman"/>
          <w:sz w:val="28"/>
          <w:szCs w:val="28"/>
        </w:rPr>
        <w:t xml:space="preserve"> передбачати гвинтові </w:t>
      </w:r>
      <w:proofErr w:type="spellStart"/>
      <w:r>
        <w:rPr>
          <w:rFonts w:ascii="Times New Roman" w:eastAsia="Times New Roman" w:hAnsi="Times New Roman" w:cs="Times New Roman"/>
          <w:sz w:val="28"/>
          <w:szCs w:val="28"/>
        </w:rPr>
        <w:t>пандyси</w:t>
      </w:r>
      <w:proofErr w:type="spellEnd"/>
      <w:r>
        <w:rPr>
          <w:rFonts w:ascii="Times New Roman" w:eastAsia="Times New Roman" w:hAnsi="Times New Roman" w:cs="Times New Roman"/>
          <w:sz w:val="28"/>
          <w:szCs w:val="28"/>
        </w:rPr>
        <w:t>.</w:t>
      </w:r>
    </w:p>
    <w:p w:rsidR="00444025" w:rsidRDefault="00367C49" w:rsidP="00367C49">
      <w:pPr>
        <w:numPr>
          <w:ilvl w:val="0"/>
          <w:numId w:val="2"/>
        </w:numPr>
        <w:jc w:val="both"/>
        <w:rPr>
          <w:rFonts w:ascii="Times New Roman" w:eastAsia="Times New Roman" w:hAnsi="Times New Roman" w:cs="Times New Roman"/>
          <w:sz w:val="28"/>
          <w:szCs w:val="28"/>
        </w:rPr>
      </w:pPr>
      <w:bookmarkStart w:id="2" w:name="_1fob9te" w:colFirst="0" w:colLast="0"/>
      <w:bookmarkEnd w:id="2"/>
      <w:r>
        <w:rPr>
          <w:rFonts w:ascii="Times New Roman" w:eastAsia="Times New Roman" w:hAnsi="Times New Roman" w:cs="Times New Roman"/>
          <w:sz w:val="28"/>
          <w:szCs w:val="28"/>
        </w:rPr>
        <w:t xml:space="preserve">Пандуси повинні мати двобічну </w:t>
      </w:r>
      <w:proofErr w:type="spellStart"/>
      <w:r>
        <w:rPr>
          <w:rFonts w:ascii="Times New Roman" w:eastAsia="Times New Roman" w:hAnsi="Times New Roman" w:cs="Times New Roman"/>
          <w:sz w:val="28"/>
          <w:szCs w:val="28"/>
        </w:rPr>
        <w:t>огоpожу</w:t>
      </w:r>
      <w:proofErr w:type="spellEnd"/>
      <w:r>
        <w:rPr>
          <w:rFonts w:ascii="Times New Roman" w:eastAsia="Times New Roman" w:hAnsi="Times New Roman" w:cs="Times New Roman"/>
          <w:sz w:val="28"/>
          <w:szCs w:val="28"/>
        </w:rPr>
        <w:t xml:space="preserve"> з </w:t>
      </w:r>
      <w:proofErr w:type="spellStart"/>
      <w:r>
        <w:rPr>
          <w:rFonts w:ascii="Times New Roman" w:eastAsia="Times New Roman" w:hAnsi="Times New Roman" w:cs="Times New Roman"/>
          <w:sz w:val="28"/>
          <w:szCs w:val="28"/>
        </w:rPr>
        <w:t>поpучнями</w:t>
      </w:r>
      <w:proofErr w:type="spellEnd"/>
      <w:r>
        <w:rPr>
          <w:rFonts w:ascii="Times New Roman" w:eastAsia="Times New Roman" w:hAnsi="Times New Roman" w:cs="Times New Roman"/>
          <w:sz w:val="28"/>
          <w:szCs w:val="28"/>
        </w:rPr>
        <w:t xml:space="preserve">. Пандуси Заввишки 3,0 м і більше допускається замінювати підйомними </w:t>
      </w:r>
      <w:proofErr w:type="spellStart"/>
      <w:r>
        <w:rPr>
          <w:rFonts w:ascii="Times New Roman" w:eastAsia="Times New Roman" w:hAnsi="Times New Roman" w:cs="Times New Roman"/>
          <w:sz w:val="28"/>
          <w:szCs w:val="28"/>
        </w:rPr>
        <w:t>пpистpоями</w:t>
      </w:r>
      <w:proofErr w:type="spellEnd"/>
      <w:r>
        <w:rPr>
          <w:rFonts w:ascii="Times New Roman" w:eastAsia="Times New Roman" w:hAnsi="Times New Roman" w:cs="Times New Roman"/>
          <w:sz w:val="28"/>
          <w:szCs w:val="28"/>
        </w:rPr>
        <w:t>.</w:t>
      </w:r>
    </w:p>
    <w:p w:rsidR="00444025" w:rsidRDefault="00367C49" w:rsidP="00367C49">
      <w:pPr>
        <w:numPr>
          <w:ilvl w:val="0"/>
          <w:numId w:val="2"/>
        </w:numPr>
        <w:jc w:val="both"/>
        <w:rPr>
          <w:rFonts w:ascii="Times New Roman" w:eastAsia="Times New Roman" w:hAnsi="Times New Roman" w:cs="Times New Roman"/>
          <w:sz w:val="28"/>
          <w:szCs w:val="28"/>
        </w:rPr>
      </w:pPr>
      <w:bookmarkStart w:id="3" w:name="_3znysh7" w:colFirst="0" w:colLast="0"/>
      <w:bookmarkEnd w:id="3"/>
      <w:proofErr w:type="spellStart"/>
      <w:r>
        <w:rPr>
          <w:rFonts w:ascii="Times New Roman" w:eastAsia="Times New Roman" w:hAnsi="Times New Roman" w:cs="Times New Roman"/>
          <w:sz w:val="28"/>
          <w:szCs w:val="28"/>
        </w:rPr>
        <w:t>Повеpхн</w:t>
      </w:r>
      <w:r>
        <w:rPr>
          <w:rFonts w:ascii="Times New Roman" w:eastAsia="Times New Roman" w:hAnsi="Times New Roman" w:cs="Times New Roman"/>
          <w:sz w:val="28"/>
          <w:szCs w:val="28"/>
        </w:rPr>
        <w:t>я</w:t>
      </w:r>
      <w:proofErr w:type="spellEnd"/>
      <w:r>
        <w:rPr>
          <w:rFonts w:ascii="Times New Roman" w:eastAsia="Times New Roman" w:hAnsi="Times New Roman" w:cs="Times New Roman"/>
          <w:sz w:val="28"/>
          <w:szCs w:val="28"/>
        </w:rPr>
        <w:t xml:space="preserve"> пандуса повинна бути </w:t>
      </w:r>
      <w:proofErr w:type="spellStart"/>
      <w:r>
        <w:rPr>
          <w:rFonts w:ascii="Times New Roman" w:eastAsia="Times New Roman" w:hAnsi="Times New Roman" w:cs="Times New Roman"/>
          <w:sz w:val="28"/>
          <w:szCs w:val="28"/>
        </w:rPr>
        <w:t>шоpсткою</w:t>
      </w:r>
      <w:proofErr w:type="spellEnd"/>
      <w:r>
        <w:rPr>
          <w:rFonts w:ascii="Times New Roman" w:eastAsia="Times New Roman" w:hAnsi="Times New Roman" w:cs="Times New Roman"/>
          <w:sz w:val="28"/>
          <w:szCs w:val="28"/>
        </w:rPr>
        <w:t xml:space="preserve">, чітко </w:t>
      </w:r>
      <w:proofErr w:type="spellStart"/>
      <w:r>
        <w:rPr>
          <w:rFonts w:ascii="Times New Roman" w:eastAsia="Times New Roman" w:hAnsi="Times New Roman" w:cs="Times New Roman"/>
          <w:sz w:val="28"/>
          <w:szCs w:val="28"/>
        </w:rPr>
        <w:t>маpкована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кольоpом</w:t>
      </w:r>
      <w:proofErr w:type="spellEnd"/>
      <w:r>
        <w:rPr>
          <w:rFonts w:ascii="Times New Roman" w:eastAsia="Times New Roman" w:hAnsi="Times New Roman" w:cs="Times New Roman"/>
          <w:sz w:val="28"/>
          <w:szCs w:val="28"/>
        </w:rPr>
        <w:t xml:space="preserve"> або </w:t>
      </w:r>
      <w:proofErr w:type="spellStart"/>
      <w:r>
        <w:rPr>
          <w:rFonts w:ascii="Times New Roman" w:eastAsia="Times New Roman" w:hAnsi="Times New Roman" w:cs="Times New Roman"/>
          <w:sz w:val="28"/>
          <w:szCs w:val="28"/>
        </w:rPr>
        <w:t>фактуpою</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контpастною</w:t>
      </w:r>
      <w:proofErr w:type="spellEnd"/>
      <w:r>
        <w:rPr>
          <w:rFonts w:ascii="Times New Roman" w:eastAsia="Times New Roman" w:hAnsi="Times New Roman" w:cs="Times New Roman"/>
          <w:sz w:val="28"/>
          <w:szCs w:val="28"/>
        </w:rPr>
        <w:t xml:space="preserve"> відносно суміжних </w:t>
      </w:r>
      <w:proofErr w:type="spellStart"/>
      <w:r>
        <w:rPr>
          <w:rFonts w:ascii="Times New Roman" w:eastAsia="Times New Roman" w:hAnsi="Times New Roman" w:cs="Times New Roman"/>
          <w:sz w:val="28"/>
          <w:szCs w:val="28"/>
        </w:rPr>
        <w:t>гоpизонтальних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повеpхонь</w:t>
      </w:r>
      <w:proofErr w:type="spellEnd"/>
      <w:r>
        <w:rPr>
          <w:rFonts w:ascii="Times New Roman" w:eastAsia="Times New Roman" w:hAnsi="Times New Roman" w:cs="Times New Roman"/>
          <w:sz w:val="28"/>
          <w:szCs w:val="28"/>
        </w:rPr>
        <w:t>.</w:t>
      </w:r>
    </w:p>
    <w:p w:rsidR="00444025" w:rsidRDefault="00444025" w:rsidP="00367C49">
      <w:pPr>
        <w:jc w:val="both"/>
        <w:rPr>
          <w:rFonts w:ascii="Times New Roman" w:eastAsia="Times New Roman" w:hAnsi="Times New Roman" w:cs="Times New Roman"/>
          <w:sz w:val="28"/>
          <w:szCs w:val="28"/>
        </w:rPr>
      </w:pPr>
      <w:bookmarkStart w:id="4" w:name="_2et92p0" w:colFirst="0" w:colLast="0"/>
      <w:bookmarkEnd w:id="4"/>
    </w:p>
    <w:p w:rsidR="00444025" w:rsidRDefault="00367C49" w:rsidP="00367C49">
      <w:pPr>
        <w:jc w:val="both"/>
        <w:rPr>
          <w:rFonts w:ascii="Times New Roman" w:eastAsia="Times New Roman" w:hAnsi="Times New Roman" w:cs="Times New Roman"/>
          <w:b/>
          <w:sz w:val="28"/>
          <w:szCs w:val="28"/>
        </w:rPr>
      </w:pPr>
      <w:bookmarkStart w:id="5" w:name="_tyjcwt" w:colFirst="0" w:colLast="0"/>
      <w:bookmarkEnd w:id="5"/>
      <w:r>
        <w:rPr>
          <w:rFonts w:ascii="Times New Roman" w:eastAsia="Times New Roman" w:hAnsi="Times New Roman" w:cs="Times New Roman"/>
          <w:b/>
          <w:sz w:val="28"/>
          <w:szCs w:val="28"/>
        </w:rPr>
        <w:t>Вбиральні</w:t>
      </w:r>
    </w:p>
    <w:p w:rsidR="00444025" w:rsidRDefault="00444025" w:rsidP="00367C49">
      <w:pPr>
        <w:jc w:val="both"/>
        <w:rPr>
          <w:rFonts w:ascii="Times New Roman" w:eastAsia="Times New Roman" w:hAnsi="Times New Roman" w:cs="Times New Roman"/>
          <w:b/>
          <w:sz w:val="28"/>
          <w:szCs w:val="28"/>
        </w:rPr>
      </w:pPr>
      <w:bookmarkStart w:id="6" w:name="_3dy6vkm" w:colFirst="0" w:colLast="0"/>
      <w:bookmarkEnd w:id="6"/>
    </w:p>
    <w:p w:rsidR="00444025" w:rsidRDefault="00367C49" w:rsidP="00367C49">
      <w:pPr>
        <w:jc w:val="both"/>
        <w:rPr>
          <w:rFonts w:ascii="Times New Roman" w:eastAsia="Times New Roman" w:hAnsi="Times New Roman" w:cs="Times New Roman"/>
          <w:sz w:val="28"/>
          <w:szCs w:val="28"/>
        </w:rPr>
      </w:pPr>
      <w:bookmarkStart w:id="7" w:name="_1t3h5sf" w:colFirst="0" w:colLast="0"/>
      <w:bookmarkEnd w:id="7"/>
      <w:r>
        <w:rPr>
          <w:rFonts w:ascii="Times New Roman" w:eastAsia="Times New Roman" w:hAnsi="Times New Roman" w:cs="Times New Roman"/>
          <w:sz w:val="28"/>
          <w:szCs w:val="28"/>
        </w:rPr>
        <w:t xml:space="preserve">Наразі немає повністю доступних </w:t>
      </w:r>
      <w:proofErr w:type="spellStart"/>
      <w:r>
        <w:rPr>
          <w:rFonts w:ascii="Times New Roman" w:eastAsia="Times New Roman" w:hAnsi="Times New Roman" w:cs="Times New Roman"/>
          <w:sz w:val="28"/>
          <w:szCs w:val="28"/>
        </w:rPr>
        <w:t>вбиралень</w:t>
      </w:r>
      <w:proofErr w:type="spellEnd"/>
      <w:r>
        <w:rPr>
          <w:rFonts w:ascii="Times New Roman" w:eastAsia="Times New Roman" w:hAnsi="Times New Roman" w:cs="Times New Roman"/>
          <w:sz w:val="28"/>
          <w:szCs w:val="28"/>
        </w:rPr>
        <w:t xml:space="preserve"> в жодному навчальному корпусі.</w:t>
      </w:r>
    </w:p>
    <w:p w:rsidR="00444025" w:rsidRDefault="00444025" w:rsidP="00367C49">
      <w:pPr>
        <w:jc w:val="both"/>
        <w:rPr>
          <w:rFonts w:ascii="Times New Roman" w:eastAsia="Times New Roman" w:hAnsi="Times New Roman" w:cs="Times New Roman"/>
          <w:b/>
          <w:sz w:val="28"/>
          <w:szCs w:val="28"/>
        </w:rPr>
      </w:pPr>
      <w:bookmarkStart w:id="8" w:name="_4d34og8" w:colFirst="0" w:colLast="0"/>
      <w:bookmarkEnd w:id="8"/>
    </w:p>
    <w:p w:rsidR="00444025" w:rsidRDefault="00367C49" w:rsidP="00367C49">
      <w:pPr>
        <w:jc w:val="both"/>
        <w:rPr>
          <w:rFonts w:ascii="Times New Roman" w:eastAsia="Times New Roman" w:hAnsi="Times New Roman" w:cs="Times New Roman"/>
          <w:b/>
          <w:sz w:val="28"/>
          <w:szCs w:val="28"/>
        </w:rPr>
      </w:pPr>
      <w:bookmarkStart w:id="9" w:name="_2s8eyo1" w:colFirst="0" w:colLast="0"/>
      <w:bookmarkEnd w:id="9"/>
      <w:r>
        <w:rPr>
          <w:rFonts w:ascii="Times New Roman" w:eastAsia="Times New Roman" w:hAnsi="Times New Roman" w:cs="Times New Roman"/>
          <w:b/>
          <w:sz w:val="28"/>
          <w:szCs w:val="28"/>
        </w:rPr>
        <w:t xml:space="preserve">Рекомендації. </w:t>
      </w:r>
    </w:p>
    <w:p w:rsidR="00444025" w:rsidRDefault="00444025" w:rsidP="00367C49">
      <w:pPr>
        <w:jc w:val="both"/>
        <w:rPr>
          <w:rFonts w:ascii="Times New Roman" w:eastAsia="Times New Roman" w:hAnsi="Times New Roman" w:cs="Times New Roman"/>
          <w:sz w:val="28"/>
          <w:szCs w:val="28"/>
        </w:rPr>
      </w:pPr>
      <w:bookmarkStart w:id="10" w:name="_17dp8vu" w:colFirst="0" w:colLast="0"/>
      <w:bookmarkEnd w:id="10"/>
    </w:p>
    <w:p w:rsidR="00444025" w:rsidRDefault="00367C49" w:rsidP="00367C49">
      <w:pPr>
        <w:numPr>
          <w:ilvl w:val="0"/>
          <w:numId w:val="1"/>
        </w:numPr>
        <w:jc w:val="both"/>
        <w:rPr>
          <w:rFonts w:ascii="Times New Roman" w:eastAsia="Times New Roman" w:hAnsi="Times New Roman" w:cs="Times New Roman"/>
          <w:sz w:val="28"/>
          <w:szCs w:val="28"/>
        </w:rPr>
      </w:pPr>
      <w:bookmarkStart w:id="11" w:name="_3rdcrjn" w:colFirst="0" w:colLast="0"/>
      <w:bookmarkEnd w:id="11"/>
      <w:r>
        <w:rPr>
          <w:rFonts w:ascii="Times New Roman" w:eastAsia="Times New Roman" w:hAnsi="Times New Roman" w:cs="Times New Roman"/>
          <w:sz w:val="28"/>
          <w:szCs w:val="28"/>
        </w:rPr>
        <w:t>Має бути не менше однієї універсальної кабіни, доступної для всіх категорій громадян, облаштованої допоміжними пристроями.</w:t>
      </w:r>
    </w:p>
    <w:p w:rsidR="00444025" w:rsidRDefault="00367C49" w:rsidP="00367C49">
      <w:pPr>
        <w:numPr>
          <w:ilvl w:val="0"/>
          <w:numId w:val="1"/>
        </w:numPr>
        <w:jc w:val="both"/>
        <w:rPr>
          <w:rFonts w:ascii="Times New Roman" w:eastAsia="Times New Roman" w:hAnsi="Times New Roman" w:cs="Times New Roman"/>
          <w:sz w:val="28"/>
          <w:szCs w:val="28"/>
        </w:rPr>
      </w:pPr>
      <w:bookmarkStart w:id="12" w:name="_26in1rg" w:colFirst="0" w:colLast="0"/>
      <w:bookmarkEnd w:id="12"/>
      <w:r>
        <w:rPr>
          <w:rFonts w:ascii="Times New Roman" w:eastAsia="Times New Roman" w:hAnsi="Times New Roman" w:cs="Times New Roman"/>
          <w:sz w:val="28"/>
          <w:szCs w:val="28"/>
        </w:rPr>
        <w:t>Адаптовані туалети повинні бути на кожному відкритому поверсі. Якщо цю умову виконати неможливо в будівлі громадського користування с</w:t>
      </w:r>
      <w:r>
        <w:rPr>
          <w:rFonts w:ascii="Times New Roman" w:eastAsia="Times New Roman" w:hAnsi="Times New Roman" w:cs="Times New Roman"/>
          <w:sz w:val="28"/>
          <w:szCs w:val="28"/>
        </w:rPr>
        <w:t xml:space="preserve">лід облаштувати хоча б один адаптований туалет, який розташований окремо </w:t>
      </w:r>
    </w:p>
    <w:p w:rsidR="00444025" w:rsidRDefault="00367C49" w:rsidP="00367C49">
      <w:pPr>
        <w:numPr>
          <w:ilvl w:val="0"/>
          <w:numId w:val="1"/>
        </w:numPr>
        <w:jc w:val="both"/>
        <w:rPr>
          <w:rFonts w:ascii="Times New Roman" w:eastAsia="Times New Roman" w:hAnsi="Times New Roman" w:cs="Times New Roman"/>
          <w:sz w:val="28"/>
          <w:szCs w:val="28"/>
        </w:rPr>
      </w:pPr>
      <w:bookmarkStart w:id="13" w:name="_lnxbz9" w:colFirst="0" w:colLast="0"/>
      <w:bookmarkEnd w:id="13"/>
      <w:r>
        <w:rPr>
          <w:rFonts w:ascii="Times New Roman" w:eastAsia="Times New Roman" w:hAnsi="Times New Roman" w:cs="Times New Roman"/>
          <w:sz w:val="28"/>
          <w:szCs w:val="28"/>
        </w:rPr>
        <w:t xml:space="preserve">Розміри кабін </w:t>
      </w:r>
      <w:proofErr w:type="spellStart"/>
      <w:r>
        <w:rPr>
          <w:rFonts w:ascii="Times New Roman" w:eastAsia="Times New Roman" w:hAnsi="Times New Roman" w:cs="Times New Roman"/>
          <w:sz w:val="28"/>
          <w:szCs w:val="28"/>
        </w:rPr>
        <w:t>вбиралень</w:t>
      </w:r>
      <w:proofErr w:type="spellEnd"/>
      <w:r>
        <w:rPr>
          <w:rFonts w:ascii="Times New Roman" w:eastAsia="Times New Roman" w:hAnsi="Times New Roman" w:cs="Times New Roman"/>
          <w:sz w:val="28"/>
          <w:szCs w:val="28"/>
        </w:rPr>
        <w:t xml:space="preserve"> для відвідувача на кріслі-візку повинні мати ширину не менше 1,65 м. глибину- 1,8 м. </w:t>
      </w:r>
    </w:p>
    <w:p w:rsidR="00444025" w:rsidRDefault="00367C49" w:rsidP="00367C49">
      <w:pPr>
        <w:numPr>
          <w:ilvl w:val="0"/>
          <w:numId w:val="1"/>
        </w:numPr>
        <w:jc w:val="both"/>
        <w:rPr>
          <w:rFonts w:ascii="Times New Roman" w:eastAsia="Times New Roman" w:hAnsi="Times New Roman" w:cs="Times New Roman"/>
          <w:sz w:val="28"/>
          <w:szCs w:val="28"/>
        </w:rPr>
      </w:pPr>
      <w:bookmarkStart w:id="14" w:name="_35nkun2" w:colFirst="0" w:colLast="0"/>
      <w:bookmarkEnd w:id="14"/>
      <w:r>
        <w:rPr>
          <w:rFonts w:ascii="Times New Roman" w:eastAsia="Times New Roman" w:hAnsi="Times New Roman" w:cs="Times New Roman"/>
          <w:sz w:val="28"/>
          <w:szCs w:val="28"/>
        </w:rPr>
        <w:t xml:space="preserve">Вільне місце перед унітазом мінімально 800 мм по ширині візка і 1100 мм </w:t>
      </w:r>
      <w:r>
        <w:rPr>
          <w:rFonts w:ascii="Times New Roman" w:eastAsia="Times New Roman" w:hAnsi="Times New Roman" w:cs="Times New Roman"/>
          <w:sz w:val="28"/>
          <w:szCs w:val="28"/>
        </w:rPr>
        <w:t xml:space="preserve">по довжині. 14 Двері мають відчинятися назовні, мінімальною шириною 850 мм, легко відчиняються; </w:t>
      </w:r>
    </w:p>
    <w:p w:rsidR="00444025" w:rsidRDefault="00367C49" w:rsidP="00367C49">
      <w:pPr>
        <w:numPr>
          <w:ilvl w:val="0"/>
          <w:numId w:val="1"/>
        </w:numPr>
        <w:jc w:val="both"/>
        <w:rPr>
          <w:rFonts w:ascii="Times New Roman" w:eastAsia="Times New Roman" w:hAnsi="Times New Roman" w:cs="Times New Roman"/>
          <w:sz w:val="28"/>
          <w:szCs w:val="28"/>
        </w:rPr>
      </w:pPr>
      <w:bookmarkStart w:id="15" w:name="_1ksv4uv" w:colFirst="0" w:colLast="0"/>
      <w:bookmarkEnd w:id="15"/>
      <w:r>
        <w:rPr>
          <w:rFonts w:ascii="Times New Roman" w:eastAsia="Times New Roman" w:hAnsi="Times New Roman" w:cs="Times New Roman"/>
          <w:sz w:val="28"/>
          <w:szCs w:val="28"/>
        </w:rPr>
        <w:t xml:space="preserve">Наявність горизонтальної ручки на дверях з внутрішньої сторони на висоті 80-100 см від підлоги і 20-30 см від краю дверей; Замок на дверях можна відімкнути однією рукою </w:t>
      </w:r>
    </w:p>
    <w:p w:rsidR="00444025" w:rsidRDefault="00367C49" w:rsidP="00367C49">
      <w:pPr>
        <w:numPr>
          <w:ilvl w:val="0"/>
          <w:numId w:val="1"/>
        </w:numPr>
        <w:jc w:val="both"/>
        <w:rPr>
          <w:rFonts w:ascii="Times New Roman" w:eastAsia="Times New Roman" w:hAnsi="Times New Roman" w:cs="Times New Roman"/>
          <w:sz w:val="28"/>
          <w:szCs w:val="28"/>
        </w:rPr>
      </w:pPr>
      <w:bookmarkStart w:id="16" w:name="_44sinio" w:colFirst="0" w:colLast="0"/>
      <w:bookmarkEnd w:id="16"/>
      <w:r>
        <w:rPr>
          <w:rFonts w:ascii="Times New Roman" w:eastAsia="Times New Roman" w:hAnsi="Times New Roman" w:cs="Times New Roman"/>
          <w:sz w:val="28"/>
          <w:szCs w:val="28"/>
        </w:rPr>
        <w:t>Сидіння унітазу стійке, 45 - 50 см над рівнем підлоги (на рівні сидіння крісла-візка);</w:t>
      </w:r>
      <w:r>
        <w:rPr>
          <w:rFonts w:ascii="Times New Roman" w:eastAsia="Times New Roman" w:hAnsi="Times New Roman" w:cs="Times New Roman"/>
          <w:sz w:val="28"/>
          <w:szCs w:val="28"/>
        </w:rPr>
        <w:t xml:space="preserve"> </w:t>
      </w:r>
    </w:p>
    <w:p w:rsidR="00444025" w:rsidRDefault="00367C49" w:rsidP="00367C49">
      <w:pPr>
        <w:numPr>
          <w:ilvl w:val="0"/>
          <w:numId w:val="1"/>
        </w:numPr>
        <w:jc w:val="both"/>
        <w:rPr>
          <w:rFonts w:ascii="Times New Roman" w:eastAsia="Times New Roman" w:hAnsi="Times New Roman" w:cs="Times New Roman"/>
          <w:sz w:val="28"/>
          <w:szCs w:val="28"/>
        </w:rPr>
      </w:pPr>
      <w:bookmarkStart w:id="17" w:name="_2jxsxqh" w:colFirst="0" w:colLast="0"/>
      <w:bookmarkEnd w:id="17"/>
      <w:r>
        <w:rPr>
          <w:rFonts w:ascii="Times New Roman" w:eastAsia="Times New Roman" w:hAnsi="Times New Roman" w:cs="Times New Roman"/>
          <w:sz w:val="28"/>
          <w:szCs w:val="28"/>
        </w:rPr>
        <w:t xml:space="preserve">Важіль зливу води повинен розташовуватися в доступному місці на відкритій поверхні унітазу, на висоті 0,50-1,20 м; </w:t>
      </w:r>
    </w:p>
    <w:p w:rsidR="00444025" w:rsidRDefault="00367C49" w:rsidP="00367C49">
      <w:pPr>
        <w:numPr>
          <w:ilvl w:val="0"/>
          <w:numId w:val="1"/>
        </w:numPr>
        <w:jc w:val="both"/>
        <w:rPr>
          <w:rFonts w:ascii="Times New Roman" w:eastAsia="Times New Roman" w:hAnsi="Times New Roman" w:cs="Times New Roman"/>
          <w:sz w:val="28"/>
          <w:szCs w:val="28"/>
        </w:rPr>
      </w:pPr>
      <w:bookmarkStart w:id="18" w:name="_z337ya" w:colFirst="0" w:colLast="0"/>
      <w:bookmarkEnd w:id="18"/>
      <w:r>
        <w:rPr>
          <w:rFonts w:ascii="Times New Roman" w:eastAsia="Times New Roman" w:hAnsi="Times New Roman" w:cs="Times New Roman"/>
          <w:sz w:val="28"/>
          <w:szCs w:val="28"/>
        </w:rPr>
        <w:lastRenderedPageBreak/>
        <w:t>Поруччя 30-40мм у діаметрі, віддалені від стіни мін на 40 мм, надійно закріплені, можуть витримати вагу 130 кг, довжиною мінімально 900 мм</w:t>
      </w:r>
      <w:r>
        <w:rPr>
          <w:rFonts w:ascii="Times New Roman" w:eastAsia="Times New Roman" w:hAnsi="Times New Roman" w:cs="Times New Roman"/>
          <w:sz w:val="28"/>
          <w:szCs w:val="28"/>
        </w:rPr>
        <w:t xml:space="preserve">, на висоті 840мм- 920мм, </w:t>
      </w:r>
    </w:p>
    <w:p w:rsidR="00444025" w:rsidRDefault="00367C49" w:rsidP="00367C49">
      <w:pPr>
        <w:numPr>
          <w:ilvl w:val="0"/>
          <w:numId w:val="1"/>
        </w:numPr>
        <w:jc w:val="both"/>
        <w:rPr>
          <w:rFonts w:ascii="Times New Roman" w:eastAsia="Times New Roman" w:hAnsi="Times New Roman" w:cs="Times New Roman"/>
          <w:sz w:val="28"/>
          <w:szCs w:val="28"/>
        </w:rPr>
      </w:pPr>
      <w:bookmarkStart w:id="19" w:name="_3j2qqm3" w:colFirst="0" w:colLast="0"/>
      <w:bookmarkEnd w:id="19"/>
      <w:r>
        <w:rPr>
          <w:rFonts w:ascii="Times New Roman" w:eastAsia="Times New Roman" w:hAnsi="Times New Roman" w:cs="Times New Roman"/>
          <w:sz w:val="28"/>
          <w:szCs w:val="28"/>
        </w:rPr>
        <w:t>У будинках громадського використання поручні повинні контрастувати з кольором стін; у чоловічих туалетах один з пісуарів встановлюється на 500мм ± 10мм над рівнем підлоги, без сходин;</w:t>
      </w:r>
    </w:p>
    <w:p w:rsidR="00444025" w:rsidRDefault="00367C49" w:rsidP="00367C49">
      <w:pPr>
        <w:numPr>
          <w:ilvl w:val="0"/>
          <w:numId w:val="1"/>
        </w:numPr>
        <w:jc w:val="both"/>
        <w:rPr>
          <w:rFonts w:ascii="Times New Roman" w:eastAsia="Times New Roman" w:hAnsi="Times New Roman" w:cs="Times New Roman"/>
          <w:sz w:val="28"/>
          <w:szCs w:val="28"/>
        </w:rPr>
      </w:pPr>
      <w:bookmarkStart w:id="20" w:name="_1y810tw" w:colFirst="0" w:colLast="0"/>
      <w:bookmarkEnd w:id="20"/>
      <w:r>
        <w:rPr>
          <w:rFonts w:ascii="Times New Roman" w:eastAsia="Times New Roman" w:hAnsi="Times New Roman" w:cs="Times New Roman"/>
          <w:sz w:val="28"/>
          <w:szCs w:val="28"/>
        </w:rPr>
        <w:t>Аксесуари: дозатори мила, вішалки для рушникі</w:t>
      </w:r>
      <w:r>
        <w:rPr>
          <w:rFonts w:ascii="Times New Roman" w:eastAsia="Times New Roman" w:hAnsi="Times New Roman" w:cs="Times New Roman"/>
          <w:sz w:val="28"/>
          <w:szCs w:val="28"/>
        </w:rPr>
        <w:t>в, тримачі для туалетного паперу, слід розташовувати на зручній висоті 0,90-1,20 м</w:t>
      </w:r>
    </w:p>
    <w:p w:rsidR="00444025" w:rsidRDefault="00367C49" w:rsidP="00367C49">
      <w:pPr>
        <w:numPr>
          <w:ilvl w:val="0"/>
          <w:numId w:val="1"/>
        </w:numPr>
        <w:jc w:val="both"/>
        <w:rPr>
          <w:rFonts w:ascii="Times New Roman" w:eastAsia="Times New Roman" w:hAnsi="Times New Roman" w:cs="Times New Roman"/>
          <w:sz w:val="28"/>
          <w:szCs w:val="28"/>
        </w:rPr>
      </w:pPr>
      <w:bookmarkStart w:id="21" w:name="_4i7ojhp" w:colFirst="0" w:colLast="0"/>
      <w:bookmarkEnd w:id="21"/>
      <w:r>
        <w:rPr>
          <w:rFonts w:ascii="Times New Roman" w:eastAsia="Times New Roman" w:hAnsi="Times New Roman" w:cs="Times New Roman"/>
          <w:sz w:val="28"/>
          <w:szCs w:val="28"/>
        </w:rPr>
        <w:t xml:space="preserve">Дзеркала: Нижній край дзеркала повинен розташовуватися на максимальній висоті 1 м від рівня підлоги, рекомендується використовувати дзеркала з нахилом вперед. </w:t>
      </w:r>
    </w:p>
    <w:p w:rsidR="00444025" w:rsidRDefault="00367C49" w:rsidP="00367C49">
      <w:pPr>
        <w:numPr>
          <w:ilvl w:val="0"/>
          <w:numId w:val="1"/>
        </w:numPr>
        <w:jc w:val="both"/>
        <w:rPr>
          <w:rFonts w:ascii="Times New Roman" w:eastAsia="Times New Roman" w:hAnsi="Times New Roman" w:cs="Times New Roman"/>
          <w:sz w:val="28"/>
          <w:szCs w:val="28"/>
        </w:rPr>
      </w:pPr>
      <w:bookmarkStart w:id="22" w:name="_2xcytpi" w:colFirst="0" w:colLast="0"/>
      <w:bookmarkEnd w:id="22"/>
      <w:r>
        <w:rPr>
          <w:rFonts w:ascii="Times New Roman" w:eastAsia="Times New Roman" w:hAnsi="Times New Roman" w:cs="Times New Roman"/>
          <w:sz w:val="28"/>
          <w:szCs w:val="28"/>
        </w:rPr>
        <w:t>Умивальники с</w:t>
      </w:r>
      <w:r>
        <w:rPr>
          <w:rFonts w:ascii="Times New Roman" w:eastAsia="Times New Roman" w:hAnsi="Times New Roman" w:cs="Times New Roman"/>
          <w:sz w:val="28"/>
          <w:szCs w:val="28"/>
        </w:rPr>
        <w:t xml:space="preserve">лід встановлювати на висоті 0,80-0,85 м над рівнем підлоги; </w:t>
      </w:r>
    </w:p>
    <w:p w:rsidR="00444025" w:rsidRDefault="00367C49" w:rsidP="00367C49">
      <w:pPr>
        <w:numPr>
          <w:ilvl w:val="0"/>
          <w:numId w:val="1"/>
        </w:numPr>
        <w:jc w:val="both"/>
        <w:rPr>
          <w:rFonts w:ascii="Times New Roman" w:eastAsia="Times New Roman" w:hAnsi="Times New Roman" w:cs="Times New Roman"/>
          <w:sz w:val="28"/>
          <w:szCs w:val="28"/>
        </w:rPr>
      </w:pPr>
      <w:bookmarkStart w:id="23" w:name="_1ci93xb" w:colFirst="0" w:colLast="0"/>
      <w:bookmarkEnd w:id="23"/>
      <w:r>
        <w:rPr>
          <w:rFonts w:ascii="Times New Roman" w:eastAsia="Times New Roman" w:hAnsi="Times New Roman" w:cs="Times New Roman"/>
          <w:sz w:val="28"/>
          <w:szCs w:val="28"/>
        </w:rPr>
        <w:t xml:space="preserve">Умивальник має бути міцно закріплений, тому що до нього, можливо, буде прикладатися значне навантаження; в раковинах рекомендується застосування водопровідних кранів важільної та </w:t>
      </w:r>
      <w:proofErr w:type="spellStart"/>
      <w:r>
        <w:rPr>
          <w:rFonts w:ascii="Times New Roman" w:eastAsia="Times New Roman" w:hAnsi="Times New Roman" w:cs="Times New Roman"/>
          <w:sz w:val="28"/>
          <w:szCs w:val="28"/>
        </w:rPr>
        <w:t>нажимної</w:t>
      </w:r>
      <w:proofErr w:type="spellEnd"/>
      <w:r>
        <w:rPr>
          <w:rFonts w:ascii="Times New Roman" w:eastAsia="Times New Roman" w:hAnsi="Times New Roman" w:cs="Times New Roman"/>
          <w:sz w:val="28"/>
          <w:szCs w:val="28"/>
        </w:rPr>
        <w:t xml:space="preserve"> дії, а </w:t>
      </w:r>
      <w:r>
        <w:rPr>
          <w:rFonts w:ascii="Times New Roman" w:eastAsia="Times New Roman" w:hAnsi="Times New Roman" w:cs="Times New Roman"/>
          <w:sz w:val="28"/>
          <w:szCs w:val="28"/>
        </w:rPr>
        <w:t>також керованих електронними приладами.</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Види робіт для забезпечення доступності будівель та споруд ДВНЗ «УжНУ» для осіб з інвалідністю та інших </w:t>
      </w:r>
    </w:p>
    <w:p w:rsidR="00444025" w:rsidRDefault="00367C49" w:rsidP="00367C4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маломобільних</w:t>
      </w:r>
      <w:proofErr w:type="spellEnd"/>
      <w:r>
        <w:rPr>
          <w:rFonts w:ascii="Times New Roman" w:eastAsia="Times New Roman" w:hAnsi="Times New Roman" w:cs="Times New Roman"/>
          <w:b/>
          <w:sz w:val="28"/>
          <w:szCs w:val="28"/>
        </w:rPr>
        <w:t xml:space="preserve"> груп населення</w:t>
      </w:r>
    </w:p>
    <w:tbl>
      <w:tblPr>
        <w:tblStyle w:val="a5"/>
        <w:tblW w:w="94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2445"/>
        <w:gridCol w:w="1800"/>
        <w:gridCol w:w="1575"/>
        <w:gridCol w:w="3060"/>
      </w:tblGrid>
      <w:tr w:rsidR="00444025">
        <w:trPr>
          <w:cantSplit/>
          <w:trHeight w:val="420"/>
        </w:trPr>
        <w:tc>
          <w:tcPr>
            <w:tcW w:w="585" w:type="dxa"/>
            <w:vMerge w:val="restart"/>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p>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п/п</w:t>
            </w:r>
          </w:p>
        </w:tc>
        <w:tc>
          <w:tcPr>
            <w:tcW w:w="2445" w:type="dxa"/>
            <w:vMerge w:val="restart"/>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Назва об’єкту</w:t>
            </w:r>
          </w:p>
        </w:tc>
        <w:tc>
          <w:tcPr>
            <w:tcW w:w="6435" w:type="dxa"/>
            <w:gridSpan w:val="3"/>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Вид робіт</w:t>
            </w:r>
          </w:p>
        </w:tc>
      </w:tr>
      <w:tr w:rsidR="00444025">
        <w:trPr>
          <w:cantSplit/>
          <w:trHeight w:val="225"/>
        </w:trPr>
        <w:tc>
          <w:tcPr>
            <w:tcW w:w="585" w:type="dxa"/>
            <w:vMerge/>
          </w:tcPr>
          <w:p w:rsidR="00444025" w:rsidRDefault="00444025" w:rsidP="00367C49">
            <w:pPr>
              <w:widowControl w:val="0"/>
              <w:pBdr>
                <w:top w:val="nil"/>
                <w:left w:val="nil"/>
                <w:bottom w:val="nil"/>
                <w:right w:val="nil"/>
                <w:between w:val="nil"/>
              </w:pBdr>
              <w:jc w:val="both"/>
              <w:rPr>
                <w:rFonts w:ascii="Times New Roman" w:eastAsia="Times New Roman" w:hAnsi="Times New Roman" w:cs="Times New Roman"/>
                <w:sz w:val="28"/>
                <w:szCs w:val="28"/>
              </w:rPr>
            </w:pPr>
          </w:p>
        </w:tc>
        <w:tc>
          <w:tcPr>
            <w:tcW w:w="2445" w:type="dxa"/>
            <w:vMerge/>
          </w:tcPr>
          <w:p w:rsidR="00444025" w:rsidRDefault="00444025" w:rsidP="00367C49">
            <w:pPr>
              <w:widowControl w:val="0"/>
              <w:pBdr>
                <w:top w:val="nil"/>
                <w:left w:val="nil"/>
                <w:bottom w:val="nil"/>
                <w:right w:val="nil"/>
                <w:between w:val="nil"/>
              </w:pBdr>
              <w:jc w:val="both"/>
              <w:rPr>
                <w:rFonts w:ascii="Times New Roman" w:eastAsia="Times New Roman" w:hAnsi="Times New Roman" w:cs="Times New Roman"/>
                <w:sz w:val="28"/>
                <w:szCs w:val="28"/>
              </w:rPr>
            </w:pP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Пандуси</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Санвузол</w:t>
            </w: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Інші види робіт</w:t>
            </w:r>
          </w:p>
          <w:p w:rsidR="00444025" w:rsidRDefault="00444025" w:rsidP="00367C49">
            <w:pPr>
              <w:spacing w:line="240" w:lineRule="auto"/>
              <w:jc w:val="both"/>
              <w:rPr>
                <w:rFonts w:ascii="Times New Roman" w:eastAsia="Times New Roman" w:hAnsi="Times New Roman" w:cs="Times New Roman"/>
                <w:sz w:val="28"/>
                <w:szCs w:val="28"/>
              </w:rPr>
            </w:pP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електронних систем</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Улаштування бетонної доріжки</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Фізичний факультет</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Закупити електропідйомник</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Улаштування бетонної доріжки</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Юридичний факультет</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Біологічний факультет</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Закупити електропідйомник</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Улаштування бетонної доріжки</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Навчально-науковий інститут хімії та екології</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Закупити електропідйомник</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Улаштування бетонної доріжки</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Навчально-лабораторний корпус (Корпус А)</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Навчально-лабораторний корпус (Корпус Г)</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3060" w:type="dxa"/>
          </w:tcPr>
          <w:p w:rsidR="00444025" w:rsidRDefault="00444025" w:rsidP="00367C49">
            <w:pPr>
              <w:spacing w:line="240" w:lineRule="auto"/>
              <w:jc w:val="both"/>
              <w:rPr>
                <w:rFonts w:ascii="Times New Roman" w:eastAsia="Times New Roman" w:hAnsi="Times New Roman" w:cs="Times New Roman"/>
                <w:sz w:val="28"/>
                <w:szCs w:val="28"/>
              </w:rPr>
            </w:pP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Стоматологічний факультет</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44025" w:rsidRDefault="00444025" w:rsidP="00367C49">
            <w:pPr>
              <w:spacing w:line="240" w:lineRule="auto"/>
              <w:jc w:val="both"/>
              <w:rPr>
                <w:rFonts w:ascii="Times New Roman" w:eastAsia="Times New Roman" w:hAnsi="Times New Roman" w:cs="Times New Roman"/>
                <w:sz w:val="28"/>
                <w:szCs w:val="28"/>
              </w:rPr>
            </w:pP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Факультет здоров’я та фізичного виховання</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Учбовий корпус по вул. Заньковецької, 89а</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Ректорат і факультет історії та міжнародних відносин</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Гуртожиток №1</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w:t>
            </w:r>
          </w:p>
          <w:p w:rsidR="00444025" w:rsidRDefault="00444025" w:rsidP="00367C49">
            <w:pPr>
              <w:spacing w:line="240" w:lineRule="auto"/>
              <w:jc w:val="both"/>
              <w:rPr>
                <w:rFonts w:ascii="Times New Roman" w:eastAsia="Times New Roman" w:hAnsi="Times New Roman" w:cs="Times New Roman"/>
                <w:sz w:val="28"/>
                <w:szCs w:val="28"/>
              </w:rPr>
            </w:pP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44025" w:rsidRDefault="00444025" w:rsidP="00367C49">
            <w:pPr>
              <w:spacing w:line="240" w:lineRule="auto"/>
              <w:jc w:val="both"/>
              <w:rPr>
                <w:rFonts w:ascii="Times New Roman" w:eastAsia="Times New Roman" w:hAnsi="Times New Roman" w:cs="Times New Roman"/>
                <w:sz w:val="28"/>
                <w:szCs w:val="28"/>
              </w:rPr>
            </w:pP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Гуртожиток №2</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w:t>
            </w: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наявна</w:t>
            </w:r>
          </w:p>
          <w:p w:rsidR="00444025" w:rsidRDefault="00444025" w:rsidP="00367C49">
            <w:pPr>
              <w:spacing w:line="240" w:lineRule="auto"/>
              <w:jc w:val="both"/>
              <w:rPr>
                <w:rFonts w:ascii="Times New Roman" w:eastAsia="Times New Roman" w:hAnsi="Times New Roman" w:cs="Times New Roman"/>
                <w:sz w:val="28"/>
                <w:szCs w:val="28"/>
              </w:rPr>
            </w:pP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Гуртожиток №3</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наявна</w:t>
            </w:r>
          </w:p>
          <w:p w:rsidR="00444025" w:rsidRDefault="00444025" w:rsidP="00367C49">
            <w:pPr>
              <w:spacing w:line="240" w:lineRule="auto"/>
              <w:jc w:val="both"/>
              <w:rPr>
                <w:rFonts w:ascii="Times New Roman" w:eastAsia="Times New Roman" w:hAnsi="Times New Roman" w:cs="Times New Roman"/>
                <w:sz w:val="28"/>
                <w:szCs w:val="28"/>
              </w:rPr>
            </w:pP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Гуртожиток №4</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Улаштування бетонної доріжки</w:t>
            </w: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військової підготовки</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w:t>
            </w:r>
          </w:p>
          <w:p w:rsidR="00444025" w:rsidRDefault="00444025" w:rsidP="00367C49">
            <w:pPr>
              <w:spacing w:line="240" w:lineRule="auto"/>
              <w:jc w:val="both"/>
              <w:rPr>
                <w:rFonts w:ascii="Times New Roman" w:eastAsia="Times New Roman" w:hAnsi="Times New Roman" w:cs="Times New Roman"/>
                <w:sz w:val="28"/>
                <w:szCs w:val="28"/>
              </w:rPr>
            </w:pP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44025" w:rsidRDefault="00444025" w:rsidP="00367C49">
            <w:pPr>
              <w:spacing w:line="240" w:lineRule="auto"/>
              <w:jc w:val="both"/>
              <w:rPr>
                <w:rFonts w:ascii="Times New Roman" w:eastAsia="Times New Roman" w:hAnsi="Times New Roman" w:cs="Times New Roman"/>
                <w:sz w:val="28"/>
                <w:szCs w:val="28"/>
              </w:rPr>
            </w:pPr>
          </w:p>
        </w:tc>
      </w:tr>
      <w:tr w:rsidR="00444025">
        <w:tc>
          <w:tcPr>
            <w:tcW w:w="58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244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Медичний факультет</w:t>
            </w:r>
          </w:p>
        </w:tc>
        <w:tc>
          <w:tcPr>
            <w:tcW w:w="180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Закупити електропідйомник</w:t>
            </w:r>
          </w:p>
        </w:tc>
        <w:tc>
          <w:tcPr>
            <w:tcW w:w="1575"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Влаштування</w:t>
            </w:r>
          </w:p>
          <w:p w:rsidR="00444025" w:rsidRDefault="00444025" w:rsidP="00367C49">
            <w:pPr>
              <w:spacing w:line="240" w:lineRule="auto"/>
              <w:jc w:val="both"/>
              <w:rPr>
                <w:rFonts w:ascii="Times New Roman" w:eastAsia="Times New Roman" w:hAnsi="Times New Roman" w:cs="Times New Roman"/>
                <w:sz w:val="28"/>
                <w:szCs w:val="28"/>
              </w:rPr>
            </w:pPr>
          </w:p>
        </w:tc>
        <w:tc>
          <w:tcPr>
            <w:tcW w:w="3060" w:type="dxa"/>
          </w:tcPr>
          <w:p w:rsidR="00444025" w:rsidRDefault="00367C49" w:rsidP="00367C49">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444025" w:rsidRDefault="00444025" w:rsidP="00367C49">
            <w:pPr>
              <w:spacing w:line="240" w:lineRule="auto"/>
              <w:jc w:val="both"/>
              <w:rPr>
                <w:rFonts w:ascii="Times New Roman" w:eastAsia="Times New Roman" w:hAnsi="Times New Roman" w:cs="Times New Roman"/>
                <w:sz w:val="28"/>
                <w:szCs w:val="28"/>
              </w:rPr>
            </w:pPr>
          </w:p>
        </w:tc>
      </w:tr>
    </w:tbl>
    <w:p w:rsidR="00444025" w:rsidRDefault="00444025" w:rsidP="00367C49">
      <w:pPr>
        <w:jc w:val="both"/>
        <w:rPr>
          <w:rFonts w:ascii="Times New Roman" w:eastAsia="Times New Roman" w:hAnsi="Times New Roman" w:cs="Times New Roman"/>
          <w:sz w:val="28"/>
          <w:szCs w:val="28"/>
        </w:rPr>
      </w:pPr>
      <w:bookmarkStart w:id="24" w:name="_3whwml4" w:colFirst="0" w:colLast="0"/>
      <w:bookmarkEnd w:id="24"/>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Освітлення приміщень.</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холах та коридорах є відчутним перепад рівня освітлення в порівнянні з вулицею чи приміщеннями з вікнами. Також відстань між джерелами світла створює нерівномірність освітлення ділянок довгих приміщень.</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Рішення: </w:t>
      </w:r>
      <w:r>
        <w:rPr>
          <w:rFonts w:ascii="Times New Roman" w:eastAsia="Times New Roman" w:hAnsi="Times New Roman" w:cs="Times New Roman"/>
          <w:sz w:val="28"/>
          <w:szCs w:val="28"/>
        </w:rPr>
        <w:t>заміна ламп на енергозберігаючі з дотрима</w:t>
      </w:r>
      <w:r>
        <w:rPr>
          <w:rFonts w:ascii="Times New Roman" w:eastAsia="Times New Roman" w:hAnsi="Times New Roman" w:cs="Times New Roman"/>
          <w:sz w:val="28"/>
          <w:szCs w:val="28"/>
        </w:rPr>
        <w:t xml:space="preserve">нням вимог до освітлення, визначених в Державних будівельних нормах України “Природне та штучне освітлення” (ДБН В.2.5-28:2018 - </w:t>
      </w:r>
      <w:hyperlink r:id="rId11">
        <w:r>
          <w:rPr>
            <w:rFonts w:ascii="Times New Roman" w:eastAsia="Times New Roman" w:hAnsi="Times New Roman" w:cs="Times New Roman"/>
            <w:sz w:val="28"/>
            <w:szCs w:val="28"/>
            <w:u w:val="single"/>
          </w:rPr>
          <w:t>https://www.minregion.gov.ua/wp-content/uploads/2018/09/DBN_Osvitlennya-ostatochna.pdf</w:t>
        </w:r>
      </w:hyperlink>
      <w:r>
        <w:rPr>
          <w:rFonts w:ascii="Times New Roman" w:eastAsia="Times New Roman" w:hAnsi="Times New Roman" w:cs="Times New Roman"/>
          <w:sz w:val="28"/>
          <w:szCs w:val="28"/>
        </w:rPr>
        <w:t xml:space="preserve">). Зокрема, в довгих коридорах крім основного освітлення встановити лампи над входом до приміщень (наприклад, в корпусі за </w:t>
      </w:r>
      <w:proofErr w:type="spellStart"/>
      <w:r>
        <w:rPr>
          <w:rFonts w:ascii="Times New Roman" w:eastAsia="Times New Roman" w:hAnsi="Times New Roman" w:cs="Times New Roman"/>
          <w:sz w:val="28"/>
          <w:szCs w:val="28"/>
        </w:rPr>
        <w:t>адресою</w:t>
      </w:r>
      <w:proofErr w:type="spellEnd"/>
      <w:r>
        <w:rPr>
          <w:rFonts w:ascii="Times New Roman" w:eastAsia="Times New Roman" w:hAnsi="Times New Roman" w:cs="Times New Roman"/>
          <w:sz w:val="28"/>
          <w:szCs w:val="28"/>
        </w:rPr>
        <w:t xml:space="preserve"> вул. Університетська, 14 таке рішення є</w:t>
      </w:r>
      <w:r>
        <w:rPr>
          <w:rFonts w:ascii="Times New Roman" w:eastAsia="Times New Roman" w:hAnsi="Times New Roman" w:cs="Times New Roman"/>
          <w:sz w:val="28"/>
          <w:szCs w:val="28"/>
        </w:rPr>
        <w:t xml:space="preserve"> необхідним біля входів до навчальних аудиторій, кафедр).</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Орієнтування в просторі.</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Станом на зараз будівлі університету не мають тактильних смуг та направляючих, що допомагають орієнтуватися в просторі людям з порушеннями зору та незрячим.</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Рішення: </w:t>
      </w:r>
      <w:r>
        <w:rPr>
          <w:rFonts w:ascii="Times New Roman" w:eastAsia="Times New Roman" w:hAnsi="Times New Roman" w:cs="Times New Roman"/>
          <w:sz w:val="28"/>
          <w:szCs w:val="28"/>
        </w:rPr>
        <w:t xml:space="preserve"> Вст</w:t>
      </w:r>
      <w:r>
        <w:rPr>
          <w:rFonts w:ascii="Times New Roman" w:eastAsia="Times New Roman" w:hAnsi="Times New Roman" w:cs="Times New Roman"/>
          <w:sz w:val="28"/>
          <w:szCs w:val="28"/>
        </w:rPr>
        <w:t xml:space="preserve">ановити тактильні смуги та направляючі, що попереджають про небезпеку та допомагають обрати напрямок руху. </w:t>
      </w:r>
      <w:proofErr w:type="spellStart"/>
      <w:r>
        <w:rPr>
          <w:rFonts w:ascii="Times New Roman" w:eastAsia="Times New Roman" w:hAnsi="Times New Roman" w:cs="Times New Roman"/>
          <w:sz w:val="28"/>
          <w:szCs w:val="28"/>
        </w:rPr>
        <w:t>Тактильно</w:t>
      </w:r>
      <w:proofErr w:type="spellEnd"/>
      <w:r>
        <w:rPr>
          <w:rFonts w:ascii="Times New Roman" w:eastAsia="Times New Roman" w:hAnsi="Times New Roman" w:cs="Times New Roman"/>
          <w:sz w:val="28"/>
          <w:szCs w:val="28"/>
        </w:rPr>
        <w:t xml:space="preserve"> вони мають бути відчутними як за допомогою тростини, так і </w:t>
      </w:r>
      <w:proofErr w:type="spellStart"/>
      <w:r>
        <w:rPr>
          <w:rFonts w:ascii="Times New Roman" w:eastAsia="Times New Roman" w:hAnsi="Times New Roman" w:cs="Times New Roman"/>
          <w:sz w:val="28"/>
          <w:szCs w:val="28"/>
        </w:rPr>
        <w:t>подошви</w:t>
      </w:r>
      <w:proofErr w:type="spellEnd"/>
      <w:r>
        <w:rPr>
          <w:rFonts w:ascii="Times New Roman" w:eastAsia="Times New Roman" w:hAnsi="Times New Roman" w:cs="Times New Roman"/>
          <w:sz w:val="28"/>
          <w:szCs w:val="28"/>
        </w:rPr>
        <w:t>, а також відрізнятися за кольором від кольору основного покриття (деталь</w:t>
      </w:r>
      <w:r>
        <w:rPr>
          <w:rFonts w:ascii="Times New Roman" w:eastAsia="Times New Roman" w:hAnsi="Times New Roman" w:cs="Times New Roman"/>
          <w:sz w:val="28"/>
          <w:szCs w:val="28"/>
        </w:rPr>
        <w:t>ніше про вимоги - п.8.2. ДБН “</w:t>
      </w:r>
      <w:proofErr w:type="spellStart"/>
      <w:r>
        <w:rPr>
          <w:rFonts w:ascii="Times New Roman" w:eastAsia="Times New Roman" w:hAnsi="Times New Roman" w:cs="Times New Roman"/>
          <w:sz w:val="28"/>
          <w:szCs w:val="28"/>
        </w:rPr>
        <w:t>Інклюзивність</w:t>
      </w:r>
      <w:proofErr w:type="spellEnd"/>
      <w:r>
        <w:rPr>
          <w:rFonts w:ascii="Times New Roman" w:eastAsia="Times New Roman" w:hAnsi="Times New Roman" w:cs="Times New Roman"/>
          <w:sz w:val="28"/>
          <w:szCs w:val="28"/>
        </w:rPr>
        <w:t xml:space="preserve"> будівель та споруд”).</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Кольоpом</w:t>
      </w:r>
      <w:proofErr w:type="spellEnd"/>
      <w:r>
        <w:rPr>
          <w:rFonts w:ascii="Times New Roman" w:eastAsia="Times New Roman" w:hAnsi="Times New Roman" w:cs="Times New Roman"/>
          <w:sz w:val="28"/>
          <w:szCs w:val="28"/>
        </w:rPr>
        <w:t xml:space="preserve"> слід виділяти такі </w:t>
      </w:r>
      <w:proofErr w:type="spellStart"/>
      <w:r>
        <w:rPr>
          <w:rFonts w:ascii="Times New Roman" w:eastAsia="Times New Roman" w:hAnsi="Times New Roman" w:cs="Times New Roman"/>
          <w:sz w:val="28"/>
          <w:szCs w:val="28"/>
        </w:rPr>
        <w:t>eлeмeнти</w:t>
      </w:r>
      <w:proofErr w:type="spellEnd"/>
      <w:r>
        <w:rPr>
          <w:rFonts w:ascii="Times New Roman" w:eastAsia="Times New Roman" w:hAnsi="Times New Roman" w:cs="Times New Roman"/>
          <w:sz w:val="28"/>
          <w:szCs w:val="28"/>
        </w:rPr>
        <w:t>:</w:t>
      </w: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двepнy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фypнітypy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двepні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пeтлі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pyчки</w:t>
      </w:r>
      <w:proofErr w:type="spellEnd"/>
      <w:r>
        <w:rPr>
          <w:rFonts w:ascii="Times New Roman" w:eastAsia="Times New Roman" w:hAnsi="Times New Roman" w:cs="Times New Roman"/>
          <w:sz w:val="28"/>
          <w:szCs w:val="28"/>
        </w:rPr>
        <w:t xml:space="preserve">), Замки, Засоби для </w:t>
      </w:r>
      <w:proofErr w:type="spellStart"/>
      <w:r>
        <w:rPr>
          <w:rFonts w:ascii="Times New Roman" w:eastAsia="Times New Roman" w:hAnsi="Times New Roman" w:cs="Times New Roman"/>
          <w:sz w:val="28"/>
          <w:szCs w:val="28"/>
        </w:rPr>
        <w:t>пpийняття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eлeктpонних</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каpток</w:t>
      </w:r>
      <w:proofErr w:type="spellEnd"/>
      <w:r>
        <w:rPr>
          <w:rFonts w:ascii="Times New Roman" w:eastAsia="Times New Roman" w:hAnsi="Times New Roman" w:cs="Times New Roman"/>
          <w:sz w:val="28"/>
          <w:szCs w:val="28"/>
        </w:rPr>
        <w:t xml:space="preserve"> чи </w:t>
      </w:r>
      <w:proofErr w:type="spellStart"/>
      <w:r>
        <w:rPr>
          <w:rFonts w:ascii="Times New Roman" w:eastAsia="Times New Roman" w:hAnsi="Times New Roman" w:cs="Times New Roman"/>
          <w:sz w:val="28"/>
          <w:szCs w:val="28"/>
        </w:rPr>
        <w:t>пepeпyсток</w:t>
      </w:r>
      <w:proofErr w:type="spellEnd"/>
      <w:r>
        <w:rPr>
          <w:rFonts w:ascii="Times New Roman" w:eastAsia="Times New Roman" w:hAnsi="Times New Roman" w:cs="Times New Roman"/>
          <w:sz w:val="28"/>
          <w:szCs w:val="28"/>
        </w:rPr>
        <w:t>;</w:t>
      </w: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вмикачі світла та </w:t>
      </w:r>
      <w:proofErr w:type="spellStart"/>
      <w:r>
        <w:rPr>
          <w:rFonts w:ascii="Times New Roman" w:eastAsia="Times New Roman" w:hAnsi="Times New Roman" w:cs="Times New Roman"/>
          <w:sz w:val="28"/>
          <w:szCs w:val="28"/>
        </w:rPr>
        <w:t>pозeтки</w:t>
      </w:r>
      <w:proofErr w:type="spellEnd"/>
      <w:r>
        <w:rPr>
          <w:rFonts w:ascii="Times New Roman" w:eastAsia="Times New Roman" w:hAnsi="Times New Roman" w:cs="Times New Roman"/>
          <w:sz w:val="28"/>
          <w:szCs w:val="28"/>
        </w:rPr>
        <w:t>.</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Інформаційна та цифрова </w:t>
      </w:r>
      <w:proofErr w:type="spellStart"/>
      <w:r>
        <w:rPr>
          <w:rFonts w:ascii="Times New Roman" w:eastAsia="Times New Roman" w:hAnsi="Times New Roman" w:cs="Times New Roman"/>
          <w:b/>
          <w:sz w:val="28"/>
          <w:szCs w:val="28"/>
        </w:rPr>
        <w:t>безбар’єрність</w:t>
      </w:r>
      <w:proofErr w:type="spellEnd"/>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Доступність інформації про будівлі, навчальні аудиторії, кафедри</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Інформаційні таблички, які є зараз, малодоступні для осіб з порушеннями зору, оскільки:</w:t>
      </w:r>
    </w:p>
    <w:p w:rsidR="00444025" w:rsidRDefault="00367C49" w:rsidP="00367C49">
      <w:pPr>
        <w:numPr>
          <w:ilvl w:val="0"/>
          <w:numId w:val="1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Розташовані на висоті, більшій за середній людський зріст.</w:t>
      </w:r>
    </w:p>
    <w:p w:rsidR="00444025" w:rsidRDefault="00367C49" w:rsidP="00367C49">
      <w:pPr>
        <w:numPr>
          <w:ilvl w:val="0"/>
          <w:numId w:val="1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Пол</w:t>
      </w:r>
      <w:r>
        <w:rPr>
          <w:rFonts w:ascii="Times New Roman" w:eastAsia="Times New Roman" w:hAnsi="Times New Roman" w:cs="Times New Roman"/>
          <w:sz w:val="28"/>
          <w:szCs w:val="28"/>
        </w:rPr>
        <w:t xml:space="preserve">оження цих табличок часто не дає змогу прочитати </w:t>
      </w:r>
      <w:proofErr w:type="spellStart"/>
      <w:r>
        <w:rPr>
          <w:rFonts w:ascii="Times New Roman" w:eastAsia="Times New Roman" w:hAnsi="Times New Roman" w:cs="Times New Roman"/>
          <w:sz w:val="28"/>
          <w:szCs w:val="28"/>
        </w:rPr>
        <w:t>інформаціючерез</w:t>
      </w:r>
      <w:proofErr w:type="spellEnd"/>
      <w:r>
        <w:rPr>
          <w:rFonts w:ascii="Times New Roman" w:eastAsia="Times New Roman" w:hAnsi="Times New Roman" w:cs="Times New Roman"/>
          <w:sz w:val="28"/>
          <w:szCs w:val="28"/>
        </w:rPr>
        <w:t xml:space="preserve"> ризик відчинення дверей (інформаційна табличка розташована безпосередньо на дверях).</w:t>
      </w:r>
    </w:p>
    <w:p w:rsidR="00444025" w:rsidRDefault="00367C49" w:rsidP="00367C49">
      <w:pPr>
        <w:numPr>
          <w:ilvl w:val="0"/>
          <w:numId w:val="1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Кольорова гама не уніфікована.</w:t>
      </w:r>
    </w:p>
    <w:p w:rsidR="00444025" w:rsidRDefault="00367C49" w:rsidP="00367C49">
      <w:pPr>
        <w:numPr>
          <w:ilvl w:val="0"/>
          <w:numId w:val="1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Немає інформації шрифтом </w:t>
      </w:r>
      <w:proofErr w:type="spellStart"/>
      <w:r>
        <w:rPr>
          <w:rFonts w:ascii="Times New Roman" w:eastAsia="Times New Roman" w:hAnsi="Times New Roman" w:cs="Times New Roman"/>
          <w:sz w:val="28"/>
          <w:szCs w:val="28"/>
        </w:rPr>
        <w:t>брайля</w:t>
      </w:r>
      <w:proofErr w:type="spellEnd"/>
      <w:r>
        <w:rPr>
          <w:rFonts w:ascii="Times New Roman" w:eastAsia="Times New Roman" w:hAnsi="Times New Roman" w:cs="Times New Roman"/>
          <w:sz w:val="28"/>
          <w:szCs w:val="28"/>
        </w:rPr>
        <w:t xml:space="preserve">, а сам текст доступний для прочитання лише </w:t>
      </w:r>
      <w:r>
        <w:rPr>
          <w:rFonts w:ascii="Times New Roman" w:eastAsia="Times New Roman" w:hAnsi="Times New Roman" w:cs="Times New Roman"/>
          <w:sz w:val="28"/>
          <w:szCs w:val="28"/>
        </w:rPr>
        <w:t>за допомогою очей.</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rsidR="00444025" w:rsidRDefault="00444025" w:rsidP="00367C49">
      <w:pPr>
        <w:jc w:val="both"/>
        <w:rPr>
          <w:rFonts w:ascii="Times New Roman" w:eastAsia="Times New Roman" w:hAnsi="Times New Roman" w:cs="Times New Roman"/>
          <w:b/>
          <w:sz w:val="28"/>
          <w:szCs w:val="28"/>
        </w:rPr>
      </w:pPr>
    </w:p>
    <w:p w:rsidR="00444025" w:rsidRDefault="00367C49" w:rsidP="00367C49">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Зовнішня інформаційна табличка повинна містити основну інформацію про об’єкт (корпус) години роботи. Місце розміщення на висоті 1,2-1,5 м. або на окремому стояку вертикально по відношенню до поверхні землі чи на спеціальному с</w:t>
      </w:r>
      <w:r>
        <w:rPr>
          <w:rFonts w:ascii="Times New Roman" w:eastAsia="Times New Roman" w:hAnsi="Times New Roman" w:cs="Times New Roman"/>
          <w:sz w:val="28"/>
          <w:szCs w:val="28"/>
        </w:rPr>
        <w:t>тояку горизонтально під кутом 25-40 градусів на висоті 0,9 м.</w:t>
      </w:r>
    </w:p>
    <w:p w:rsidR="00444025" w:rsidRDefault="00367C49" w:rsidP="00367C49">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Внутрішні інформаційні таблички розмістити на висоті 1,2-1,5 м. на відстані 0,3 м. праворуч або ліворуч дверей (залежно від того, в який бік відкриваються двері - людина, яка виходить має бачити</w:t>
      </w:r>
      <w:r>
        <w:rPr>
          <w:rFonts w:ascii="Times New Roman" w:eastAsia="Times New Roman" w:hAnsi="Times New Roman" w:cs="Times New Roman"/>
          <w:sz w:val="28"/>
          <w:szCs w:val="28"/>
        </w:rPr>
        <w:t xml:space="preserve"> людину, яка ознайомлюється з інформацією на табличці).</w:t>
      </w:r>
    </w:p>
    <w:p w:rsidR="00444025" w:rsidRDefault="00367C49" w:rsidP="00367C49">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Встановлення тактильними інформаційними покажчиками з текстом у тактильному вигляді та шрифтом </w:t>
      </w:r>
      <w:proofErr w:type="spellStart"/>
      <w:r>
        <w:rPr>
          <w:rFonts w:ascii="Times New Roman" w:eastAsia="Times New Roman" w:hAnsi="Times New Roman" w:cs="Times New Roman"/>
          <w:sz w:val="28"/>
          <w:szCs w:val="28"/>
        </w:rPr>
        <w:t>Брайля</w:t>
      </w:r>
      <w:proofErr w:type="spellEnd"/>
      <w:r>
        <w:rPr>
          <w:rFonts w:ascii="Times New Roman" w:eastAsia="Times New Roman" w:hAnsi="Times New Roman" w:cs="Times New Roman"/>
          <w:sz w:val="28"/>
          <w:szCs w:val="28"/>
        </w:rPr>
        <w:t>.</w:t>
      </w:r>
    </w:p>
    <w:p w:rsidR="00444025" w:rsidRDefault="00367C49" w:rsidP="00367C49">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Оформити ці таблички в одній кольоровій гамі. Наприклад, темно-синє тло та світло-жовтий текст аб</w:t>
      </w:r>
      <w:r>
        <w:rPr>
          <w:rFonts w:ascii="Times New Roman" w:eastAsia="Times New Roman" w:hAnsi="Times New Roman" w:cs="Times New Roman"/>
          <w:sz w:val="28"/>
          <w:szCs w:val="28"/>
        </w:rPr>
        <w:t xml:space="preserve">о навпаки. Уникати кольору з ефектом </w:t>
      </w:r>
      <w:proofErr w:type="spellStart"/>
      <w:r>
        <w:rPr>
          <w:rFonts w:ascii="Times New Roman" w:eastAsia="Times New Roman" w:hAnsi="Times New Roman" w:cs="Times New Roman"/>
          <w:sz w:val="28"/>
          <w:szCs w:val="28"/>
        </w:rPr>
        <w:t>металік</w:t>
      </w:r>
      <w:proofErr w:type="spellEnd"/>
      <w:r>
        <w:rPr>
          <w:rFonts w:ascii="Times New Roman" w:eastAsia="Times New Roman" w:hAnsi="Times New Roman" w:cs="Times New Roman"/>
          <w:sz w:val="28"/>
          <w:szCs w:val="28"/>
        </w:rPr>
        <w:t>).</w:t>
      </w:r>
    </w:p>
    <w:p w:rsidR="00444025" w:rsidRDefault="00367C49" w:rsidP="00367C49">
      <w:pPr>
        <w:numPr>
          <w:ilvl w:val="0"/>
          <w:numId w:val="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Розмістити в кожній будівлі мнемосхеми y </w:t>
      </w:r>
      <w:proofErr w:type="spellStart"/>
      <w:r>
        <w:rPr>
          <w:rFonts w:ascii="Times New Roman" w:eastAsia="Times New Roman" w:hAnsi="Times New Roman" w:cs="Times New Roman"/>
          <w:sz w:val="28"/>
          <w:szCs w:val="28"/>
        </w:rPr>
        <w:t>тактильномy</w:t>
      </w:r>
      <w:proofErr w:type="spellEnd"/>
      <w:r>
        <w:rPr>
          <w:rFonts w:ascii="Times New Roman" w:eastAsia="Times New Roman" w:hAnsi="Times New Roman" w:cs="Times New Roman"/>
          <w:sz w:val="28"/>
          <w:szCs w:val="28"/>
        </w:rPr>
        <w:t xml:space="preserve"> вигляді та </w:t>
      </w:r>
      <w:proofErr w:type="spellStart"/>
      <w:r>
        <w:rPr>
          <w:rFonts w:ascii="Times New Roman" w:eastAsia="Times New Roman" w:hAnsi="Times New Roman" w:cs="Times New Roman"/>
          <w:sz w:val="28"/>
          <w:szCs w:val="28"/>
        </w:rPr>
        <w:t>шpифтом</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Бpайля</w:t>
      </w:r>
      <w:proofErr w:type="spellEnd"/>
      <w:r>
        <w:rPr>
          <w:rFonts w:ascii="Times New Roman" w:eastAsia="Times New Roman" w:hAnsi="Times New Roman" w:cs="Times New Roman"/>
          <w:sz w:val="28"/>
          <w:szCs w:val="28"/>
        </w:rPr>
        <w:t>: план (</w:t>
      </w:r>
      <w:proofErr w:type="spellStart"/>
      <w:r>
        <w:rPr>
          <w:rFonts w:ascii="Times New Roman" w:eastAsia="Times New Roman" w:hAnsi="Times New Roman" w:cs="Times New Roman"/>
          <w:sz w:val="28"/>
          <w:szCs w:val="28"/>
        </w:rPr>
        <w:t>схeмy</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повepхів</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бyдівлі</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eвакyації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пpилeглої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тepитоpії</w:t>
      </w:r>
      <w:proofErr w:type="spellEnd"/>
      <w:r>
        <w:rPr>
          <w:rFonts w:ascii="Times New Roman" w:eastAsia="Times New Roman" w:hAnsi="Times New Roman" w:cs="Times New Roman"/>
          <w:sz w:val="28"/>
          <w:szCs w:val="28"/>
        </w:rPr>
        <w:t>.</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Ключові проблеми доступності веб-сайту та шляхи їх вирішення:</w:t>
      </w:r>
    </w:p>
    <w:p w:rsidR="00444025" w:rsidRDefault="00444025" w:rsidP="00367C49">
      <w:pPr>
        <w:jc w:val="both"/>
        <w:rPr>
          <w:rFonts w:ascii="Times New Roman" w:eastAsia="Times New Roman" w:hAnsi="Times New Roman" w:cs="Times New Roman"/>
          <w:b/>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Оф</w:t>
      </w:r>
      <w:r>
        <w:rPr>
          <w:rFonts w:ascii="Times New Roman" w:eastAsia="Times New Roman" w:hAnsi="Times New Roman" w:cs="Times New Roman"/>
          <w:sz w:val="28"/>
          <w:szCs w:val="28"/>
        </w:rPr>
        <w:t>іційний сайт ДВНЗ “Ужгородський національний університет” є основним джерелом інформації про освітні та інші можливості, послуги, події тощо. Проте станом на сьогодні отримати інформацію про ці можливості можуть далеко не всі користувачі через його невідпо</w:t>
      </w:r>
      <w:r>
        <w:rPr>
          <w:rFonts w:ascii="Times New Roman" w:eastAsia="Times New Roman" w:hAnsi="Times New Roman" w:cs="Times New Roman"/>
          <w:sz w:val="28"/>
          <w:szCs w:val="28"/>
        </w:rPr>
        <w:t xml:space="preserve">відність  вимогам </w:t>
      </w:r>
      <w:r>
        <w:rPr>
          <w:sz w:val="30"/>
          <w:szCs w:val="30"/>
          <w:highlight w:val="white"/>
        </w:rPr>
        <w:t>Керівництва з доступності веб-контенту (WCAG) (</w:t>
      </w:r>
      <w:hyperlink r:id="rId12">
        <w:r>
          <w:rPr>
            <w:color w:val="1155CC"/>
            <w:sz w:val="30"/>
            <w:szCs w:val="30"/>
            <w:highlight w:val="white"/>
            <w:u w:val="single"/>
          </w:rPr>
          <w:t>https://www.w3.org/Translations/WCAG21-ua/</w:t>
        </w:r>
      </w:hyperlink>
      <w:r>
        <w:rPr>
          <w:sz w:val="30"/>
          <w:szCs w:val="30"/>
          <w:highlight w:val="white"/>
        </w:rPr>
        <w:t xml:space="preserve">) </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Висновки про доступність сайту на основі його перевірки через такі ресурси:</w:t>
      </w:r>
    </w:p>
    <w:p w:rsidR="00444025" w:rsidRDefault="00367C49" w:rsidP="00367C49">
      <w:pPr>
        <w:numPr>
          <w:ilvl w:val="0"/>
          <w:numId w:val="5"/>
        </w:numPr>
        <w:jc w:val="both"/>
        <w:rPr>
          <w:rFonts w:ascii="Times New Roman" w:eastAsia="Times New Roman" w:hAnsi="Times New Roman" w:cs="Times New Roman"/>
          <w:sz w:val="28"/>
          <w:szCs w:val="28"/>
        </w:rPr>
      </w:pPr>
      <w:hyperlink r:id="rId13">
        <w:r>
          <w:rPr>
            <w:rFonts w:ascii="Times New Roman" w:eastAsia="Times New Roman" w:hAnsi="Times New Roman" w:cs="Times New Roman"/>
            <w:sz w:val="28"/>
            <w:szCs w:val="28"/>
            <w:u w:val="single"/>
          </w:rPr>
          <w:t>https://www.accessibilitychecker.org/</w:t>
        </w:r>
      </w:hyperlink>
      <w:r>
        <w:rPr>
          <w:rFonts w:ascii="Times New Roman" w:eastAsia="Times New Roman" w:hAnsi="Times New Roman" w:cs="Times New Roman"/>
          <w:sz w:val="28"/>
          <w:szCs w:val="28"/>
        </w:rPr>
        <w:t xml:space="preserve">. </w:t>
      </w:r>
    </w:p>
    <w:p w:rsidR="00444025" w:rsidRDefault="00367C49" w:rsidP="00367C49">
      <w:pPr>
        <w:numPr>
          <w:ilvl w:val="0"/>
          <w:numId w:val="5"/>
        </w:numPr>
        <w:jc w:val="both"/>
        <w:rPr>
          <w:rFonts w:ascii="Times New Roman" w:eastAsia="Times New Roman" w:hAnsi="Times New Roman" w:cs="Times New Roman"/>
          <w:sz w:val="28"/>
          <w:szCs w:val="28"/>
        </w:rPr>
      </w:pPr>
      <w:hyperlink r:id="rId14">
        <w:r>
          <w:rPr>
            <w:rFonts w:ascii="Times New Roman" w:eastAsia="Times New Roman" w:hAnsi="Times New Roman" w:cs="Times New Roman"/>
            <w:sz w:val="28"/>
            <w:szCs w:val="28"/>
            <w:u w:val="single"/>
          </w:rPr>
          <w:t>https://achecker.achecks.ca/checker/index.php</w:t>
        </w:r>
      </w:hyperlink>
      <w:r>
        <w:rPr>
          <w:rFonts w:ascii="Times New Roman" w:eastAsia="Times New Roman" w:hAnsi="Times New Roman" w:cs="Times New Roman"/>
          <w:sz w:val="28"/>
          <w:szCs w:val="28"/>
        </w:rPr>
        <w:t xml:space="preserve">. </w:t>
      </w:r>
    </w:p>
    <w:p w:rsidR="00444025" w:rsidRDefault="00367C49" w:rsidP="00367C49">
      <w:pPr>
        <w:numPr>
          <w:ilvl w:val="0"/>
          <w:numId w:val="5"/>
        </w:numPr>
        <w:jc w:val="both"/>
        <w:rPr>
          <w:rFonts w:ascii="Times New Roman" w:eastAsia="Times New Roman" w:hAnsi="Times New Roman" w:cs="Times New Roman"/>
          <w:sz w:val="28"/>
          <w:szCs w:val="28"/>
        </w:rPr>
      </w:pPr>
      <w:hyperlink r:id="rId15">
        <w:r>
          <w:rPr>
            <w:rFonts w:ascii="Times New Roman" w:eastAsia="Times New Roman" w:hAnsi="Times New Roman" w:cs="Times New Roman"/>
            <w:sz w:val="28"/>
            <w:szCs w:val="28"/>
            <w:u w:val="single"/>
          </w:rPr>
          <w:t>https://www.powermapper.com/products/sortsite/checks/accessibility-checks/</w:t>
        </w:r>
      </w:hyperlink>
      <w:r>
        <w:rPr>
          <w:rFonts w:ascii="Times New Roman" w:eastAsia="Times New Roman" w:hAnsi="Times New Roman" w:cs="Times New Roman"/>
          <w:sz w:val="28"/>
          <w:szCs w:val="28"/>
        </w:rPr>
        <w:t xml:space="preserve">. </w:t>
      </w:r>
    </w:p>
    <w:p w:rsidR="00444025" w:rsidRDefault="00444025" w:rsidP="00367C49">
      <w:pPr>
        <w:jc w:val="both"/>
        <w:rPr>
          <w:rFonts w:ascii="Times New Roman" w:eastAsia="Times New Roman" w:hAnsi="Times New Roman" w:cs="Times New Roman"/>
          <w:b/>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Наявний сайт має багато інформації, що може бути корисною як студентам чи абітурієнтам, так і людям, які можуть стати співробітникам</w:t>
      </w:r>
      <w:r>
        <w:rPr>
          <w:rFonts w:ascii="Times New Roman" w:eastAsia="Times New Roman" w:hAnsi="Times New Roman" w:cs="Times New Roman"/>
          <w:sz w:val="28"/>
          <w:szCs w:val="28"/>
        </w:rPr>
        <w:t>и, здобувачами чи учасниками публічних заходів. Проте деякі аспекти роботи та оформлення сайту потребують вдосконалення, а саме:</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numPr>
          <w:ilvl w:val="0"/>
          <w:numId w:val="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Додати текстові альтернативи до будь-якого нетекстового вмісту. Наприклад, текстовий опис зображень, дублювання інформації з </w:t>
      </w:r>
      <w:proofErr w:type="spellStart"/>
      <w:r>
        <w:rPr>
          <w:rFonts w:ascii="Times New Roman" w:eastAsia="Times New Roman" w:hAnsi="Times New Roman" w:cs="Times New Roman"/>
          <w:sz w:val="28"/>
          <w:szCs w:val="28"/>
        </w:rPr>
        <w:t>і</w:t>
      </w:r>
      <w:r>
        <w:rPr>
          <w:rFonts w:ascii="Times New Roman" w:eastAsia="Times New Roman" w:hAnsi="Times New Roman" w:cs="Times New Roman"/>
          <w:sz w:val="28"/>
          <w:szCs w:val="28"/>
        </w:rPr>
        <w:t>нфографік</w:t>
      </w:r>
      <w:proofErr w:type="spellEnd"/>
      <w:r>
        <w:rPr>
          <w:rFonts w:ascii="Times New Roman" w:eastAsia="Times New Roman" w:hAnsi="Times New Roman" w:cs="Times New Roman"/>
          <w:sz w:val="28"/>
          <w:szCs w:val="28"/>
        </w:rPr>
        <w:t xml:space="preserve"> текстом. Якщо документ на сайті представлений у форматі ПДФ, то цей же документ повинен мати альтернативну версію у форматі </w:t>
      </w:r>
      <w:proofErr w:type="spellStart"/>
      <w:r>
        <w:rPr>
          <w:rFonts w:ascii="Times New Roman" w:eastAsia="Times New Roman" w:hAnsi="Times New Roman" w:cs="Times New Roman"/>
          <w:sz w:val="28"/>
          <w:szCs w:val="28"/>
        </w:rPr>
        <w:t>ворд</w:t>
      </w:r>
      <w:proofErr w:type="spellEnd"/>
      <w:r>
        <w:rPr>
          <w:rFonts w:ascii="Times New Roman" w:eastAsia="Times New Roman" w:hAnsi="Times New Roman" w:cs="Times New Roman"/>
          <w:sz w:val="28"/>
          <w:szCs w:val="28"/>
        </w:rPr>
        <w:t>.</w:t>
      </w:r>
    </w:p>
    <w:p w:rsidR="00444025" w:rsidRDefault="00367C49" w:rsidP="00367C49">
      <w:pPr>
        <w:numPr>
          <w:ilvl w:val="0"/>
          <w:numId w:val="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Здійснювати публікацію статей без використання кнопки “далі”. Наприклад, якщо це розділ “Новини”, то потрібно зробит</w:t>
      </w:r>
      <w:r>
        <w:rPr>
          <w:rFonts w:ascii="Times New Roman" w:eastAsia="Times New Roman" w:hAnsi="Times New Roman" w:cs="Times New Roman"/>
          <w:sz w:val="28"/>
          <w:szCs w:val="28"/>
        </w:rPr>
        <w:t>и список із заголовків, при натисканні на які користувачі переходять безпосередньо на сторінку публікації.</w:t>
      </w:r>
    </w:p>
    <w:p w:rsidR="00444025" w:rsidRDefault="00367C49" w:rsidP="00367C49">
      <w:pPr>
        <w:numPr>
          <w:ilvl w:val="0"/>
          <w:numId w:val="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Підписані кнопки. Наприклад, інформація про вибір мови представлена лише у вигляді кольорових іконок. Щоб вони були доступними для зчитування допоміж</w:t>
      </w:r>
      <w:r>
        <w:rPr>
          <w:rFonts w:ascii="Times New Roman" w:eastAsia="Times New Roman" w:hAnsi="Times New Roman" w:cs="Times New Roman"/>
          <w:sz w:val="28"/>
          <w:szCs w:val="28"/>
        </w:rPr>
        <w:t>ними програмами, потрібно, щоб при наведенні на них курсору з’являвся текст з вибором відповідної мови.</w:t>
      </w:r>
    </w:p>
    <w:p w:rsidR="00444025" w:rsidRDefault="00367C49" w:rsidP="00367C49">
      <w:pPr>
        <w:numPr>
          <w:ilvl w:val="0"/>
          <w:numId w:val="9"/>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Покращення контрастності між текстом та фоном:</w:t>
      </w:r>
    </w:p>
    <w:p w:rsidR="00444025" w:rsidRDefault="00367C49" w:rsidP="00367C49">
      <w:pPr>
        <w:numPr>
          <w:ilvl w:val="0"/>
          <w:numId w:val="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 для тексту розміром 18 пт або 14 пт жирним шрифтом</w:t>
      </w:r>
    </w:p>
    <w:p w:rsidR="00444025" w:rsidRDefault="00367C49" w:rsidP="00367C49">
      <w:pPr>
        <w:numPr>
          <w:ilvl w:val="0"/>
          <w:numId w:val="7"/>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4,5:1 для всього іншого тексту.</w:t>
      </w: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Посилання повин</w:t>
      </w:r>
      <w:r>
        <w:rPr>
          <w:rFonts w:ascii="Times New Roman" w:eastAsia="Times New Roman" w:hAnsi="Times New Roman" w:cs="Times New Roman"/>
          <w:sz w:val="28"/>
          <w:szCs w:val="28"/>
        </w:rPr>
        <w:t>ні мати унікальну назву або короткий опис, доданий до них у коді, щоб програми зчитування з екрана могли читати вголос. Інакше програма зчитування з екрана просто прочитає вголос «посилання», і користувач не матиме контекстного розуміння того, куди це поси</w:t>
      </w:r>
      <w:r>
        <w:rPr>
          <w:rFonts w:ascii="Times New Roman" w:eastAsia="Times New Roman" w:hAnsi="Times New Roman" w:cs="Times New Roman"/>
          <w:sz w:val="28"/>
          <w:szCs w:val="28"/>
        </w:rPr>
        <w:t>лання веде.</w:t>
      </w: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Забезпечити доступність масштабування без втрати змісту. Наразі при збільшенні масштабу виникає необхідність рухати курсор, щоб прочитати текст в межах однієї строки.</w:t>
      </w: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7. Забезпечити можливість зупинити рух GIF та інших рухомих елементів нати</w:t>
      </w:r>
      <w:r>
        <w:rPr>
          <w:rFonts w:ascii="Times New Roman" w:eastAsia="Times New Roman" w:hAnsi="Times New Roman" w:cs="Times New Roman"/>
          <w:sz w:val="28"/>
          <w:szCs w:val="28"/>
        </w:rPr>
        <w:t>сканням клавіші миші чи за допомогою гарячих клавіш.</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Освітня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sz w:val="28"/>
          <w:szCs w:val="28"/>
        </w:rPr>
        <w:t>безбар’ґрність</w:t>
      </w:r>
      <w:proofErr w:type="spellEnd"/>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Вибір майбутньої спеціальності починається з ознайомлення з інформацією про те. які напрямки підготовки існують, що пропонує конкретний заклад вищої освіти, як в ньому відбуваєть</w:t>
      </w:r>
      <w:r>
        <w:rPr>
          <w:rFonts w:ascii="Times New Roman" w:eastAsia="Times New Roman" w:hAnsi="Times New Roman" w:cs="Times New Roman"/>
          <w:sz w:val="28"/>
          <w:szCs w:val="28"/>
        </w:rPr>
        <w:t>ся навчальний процес, чим можуть займатися студенти поза навчанням. В умовах сьогодення. коли багато інформації можна отримати через інтернет, важливо дати змогу абітурієнтам пройти таке перше знайомство з університетом на сайті ЗВО, що включатиме в себе т</w:t>
      </w:r>
      <w:r>
        <w:rPr>
          <w:rFonts w:ascii="Times New Roman" w:eastAsia="Times New Roman" w:hAnsi="Times New Roman" w:cs="Times New Roman"/>
          <w:sz w:val="28"/>
          <w:szCs w:val="28"/>
        </w:rPr>
        <w:t>аку інформацію:</w:t>
      </w:r>
    </w:p>
    <w:p w:rsidR="00444025" w:rsidRDefault="00367C49" w:rsidP="00367C49">
      <w:pPr>
        <w:numPr>
          <w:ilvl w:val="0"/>
          <w:numId w:val="1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 розміщений факультет.</w:t>
      </w:r>
    </w:p>
    <w:p w:rsidR="00444025" w:rsidRDefault="00367C49" w:rsidP="00367C49">
      <w:pPr>
        <w:numPr>
          <w:ilvl w:val="0"/>
          <w:numId w:val="1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Які спеціальності пропонує.</w:t>
      </w:r>
    </w:p>
    <w:p w:rsidR="00444025" w:rsidRDefault="00367C49" w:rsidP="00367C49">
      <w:pPr>
        <w:numPr>
          <w:ilvl w:val="0"/>
          <w:numId w:val="1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Як проходить навчання.</w:t>
      </w:r>
    </w:p>
    <w:p w:rsidR="00444025" w:rsidRDefault="00367C49" w:rsidP="00367C49">
      <w:pPr>
        <w:numPr>
          <w:ilvl w:val="0"/>
          <w:numId w:val="1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Додаткові можливості для студентів під час навчання.</w:t>
      </w:r>
    </w:p>
    <w:p w:rsidR="00444025" w:rsidRDefault="00367C49" w:rsidP="00367C49">
      <w:pPr>
        <w:numPr>
          <w:ilvl w:val="0"/>
          <w:numId w:val="14"/>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забезпечення </w:t>
      </w:r>
      <w:proofErr w:type="spellStart"/>
      <w:r>
        <w:rPr>
          <w:rFonts w:ascii="Times New Roman" w:eastAsia="Times New Roman" w:hAnsi="Times New Roman" w:cs="Times New Roman"/>
          <w:sz w:val="28"/>
          <w:szCs w:val="28"/>
        </w:rPr>
        <w:t>безбар’єрного</w:t>
      </w:r>
      <w:proofErr w:type="spellEnd"/>
      <w:r>
        <w:rPr>
          <w:rFonts w:ascii="Times New Roman" w:eastAsia="Times New Roman" w:hAnsi="Times New Roman" w:cs="Times New Roman"/>
          <w:sz w:val="28"/>
          <w:szCs w:val="28"/>
        </w:rPr>
        <w:t xml:space="preserve"> простору в університеті.</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Створення інформаційного довідника освітнього середовища допоможе дати максимально повну інформацію про університет. Такий довідник має включати як текстову інформацію (опис), так і відео, яке є повністю доступним для людей з інвалідністю (включає в себе </w:t>
      </w:r>
      <w:proofErr w:type="spellStart"/>
      <w:r>
        <w:rPr>
          <w:rFonts w:ascii="Times New Roman" w:eastAsia="Times New Roman" w:hAnsi="Times New Roman" w:cs="Times New Roman"/>
          <w:sz w:val="28"/>
          <w:szCs w:val="28"/>
        </w:rPr>
        <w:t>т</w:t>
      </w:r>
      <w:r>
        <w:rPr>
          <w:rFonts w:ascii="Times New Roman" w:eastAsia="Times New Roman" w:hAnsi="Times New Roman" w:cs="Times New Roman"/>
          <w:sz w:val="28"/>
          <w:szCs w:val="28"/>
        </w:rPr>
        <w:t>ифлокоментарі</w:t>
      </w:r>
      <w:proofErr w:type="spellEnd"/>
      <w:r>
        <w:rPr>
          <w:rFonts w:ascii="Times New Roman" w:eastAsia="Times New Roman" w:hAnsi="Times New Roman" w:cs="Times New Roman"/>
          <w:sz w:val="28"/>
          <w:szCs w:val="28"/>
        </w:rPr>
        <w:t>, субтитри).</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Суспільна та громадянська </w:t>
      </w:r>
      <w:proofErr w:type="spellStart"/>
      <w:r>
        <w:rPr>
          <w:rFonts w:ascii="Times New Roman" w:eastAsia="Times New Roman" w:hAnsi="Times New Roman" w:cs="Times New Roman"/>
          <w:sz w:val="28"/>
          <w:szCs w:val="28"/>
        </w:rPr>
        <w:t>безбар’єрність</w:t>
      </w:r>
      <w:proofErr w:type="spellEnd"/>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Вступ до університету, переїзд до нової громади, початок навчання в новому колективі та за новими вимогами може стати певним стресовим фактором для студентів. Також студенти більш старших курсів можуть потребувати підтримки в процесі навчання, що може бути</w:t>
      </w:r>
      <w:r>
        <w:rPr>
          <w:rFonts w:ascii="Times New Roman" w:eastAsia="Times New Roman" w:hAnsi="Times New Roman" w:cs="Times New Roman"/>
          <w:sz w:val="28"/>
          <w:szCs w:val="28"/>
        </w:rPr>
        <w:t xml:space="preserve"> викликано як особистими причинами, так і зовнішніми факторами. Такі потреби можуть виникати в студентів з інвалідністю, студентів, які пережили втрату близьких через війну, студентів, в яких народилася дитина тощо. Можливість отримати допомогу у вигляді к</w:t>
      </w:r>
      <w:r>
        <w:rPr>
          <w:rFonts w:ascii="Times New Roman" w:eastAsia="Times New Roman" w:hAnsi="Times New Roman" w:cs="Times New Roman"/>
          <w:sz w:val="28"/>
          <w:szCs w:val="28"/>
        </w:rPr>
        <w:t xml:space="preserve">онсультації, групового заняття з психологом чи іншим фахівцем допоможе уникнути негативних наслідків </w:t>
      </w:r>
      <w:proofErr w:type="spellStart"/>
      <w:r>
        <w:rPr>
          <w:rFonts w:ascii="Times New Roman" w:eastAsia="Times New Roman" w:hAnsi="Times New Roman" w:cs="Times New Roman"/>
          <w:sz w:val="28"/>
          <w:szCs w:val="28"/>
        </w:rPr>
        <w:lastRenderedPageBreak/>
        <w:t>травмуючих</w:t>
      </w:r>
      <w:proofErr w:type="spellEnd"/>
      <w:r>
        <w:rPr>
          <w:rFonts w:ascii="Times New Roman" w:eastAsia="Times New Roman" w:hAnsi="Times New Roman" w:cs="Times New Roman"/>
          <w:sz w:val="28"/>
          <w:szCs w:val="28"/>
        </w:rPr>
        <w:t xml:space="preserve"> подій, знайти вихід з ситуації та залишатися включеними в освітній процес. </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Рішення</w:t>
      </w:r>
    </w:p>
    <w:p w:rsidR="00444025" w:rsidRDefault="00444025" w:rsidP="00367C49">
      <w:pPr>
        <w:jc w:val="both"/>
        <w:rPr>
          <w:rFonts w:ascii="Times New Roman" w:eastAsia="Times New Roman" w:hAnsi="Times New Roman" w:cs="Times New Roman"/>
          <w:sz w:val="28"/>
          <w:szCs w:val="28"/>
        </w:rPr>
      </w:pPr>
    </w:p>
    <w:p w:rsidR="00444025" w:rsidRDefault="00367C49" w:rsidP="00367C49">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Відкриття Центру підтримки студентів, зокрема з інвалідніс</w:t>
      </w:r>
      <w:r>
        <w:rPr>
          <w:rFonts w:ascii="Times New Roman" w:eastAsia="Times New Roman" w:hAnsi="Times New Roman" w:cs="Times New Roman"/>
          <w:sz w:val="28"/>
          <w:szCs w:val="28"/>
        </w:rPr>
        <w:t xml:space="preserve">тю дасть змогу надавати інформаційну, психологічну допомогу тим студентам, які потребують певного розвантаження або підтримки в процесі навчання шляхом консультацій, групових занять для формування соціальної згуртованості, подолання наслідків травми тощо. </w:t>
      </w:r>
      <w:r>
        <w:rPr>
          <w:rFonts w:ascii="Times New Roman" w:eastAsia="Times New Roman" w:hAnsi="Times New Roman" w:cs="Times New Roman"/>
          <w:sz w:val="28"/>
          <w:szCs w:val="28"/>
        </w:rPr>
        <w:t>Такий центр пропонується відкрити на базі факультету суспільних наук.</w:t>
      </w:r>
    </w:p>
    <w:p w:rsidR="00367C49" w:rsidRDefault="00367C49" w:rsidP="00367C49">
      <w:pPr>
        <w:jc w:val="both"/>
        <w:rPr>
          <w:rFonts w:ascii="Times New Roman" w:eastAsia="Times New Roman" w:hAnsi="Times New Roman" w:cs="Times New Roman"/>
          <w:sz w:val="28"/>
          <w:szCs w:val="28"/>
        </w:rPr>
      </w:pPr>
    </w:p>
    <w:p w:rsidR="00367C49" w:rsidRDefault="00367C49" w:rsidP="00367C49">
      <w:pPr>
        <w:jc w:val="both"/>
        <w:rPr>
          <w:rFonts w:ascii="Times New Roman" w:eastAsia="Times New Roman" w:hAnsi="Times New Roman" w:cs="Times New Roman"/>
          <w:sz w:val="28"/>
          <w:szCs w:val="28"/>
        </w:rPr>
      </w:pPr>
    </w:p>
    <w:p w:rsidR="00367C49" w:rsidRDefault="00367C49" w:rsidP="00367C49">
      <w:pPr>
        <w:jc w:val="right"/>
        <w:rPr>
          <w:rFonts w:ascii="Times New Roman" w:eastAsia="Times New Roman" w:hAnsi="Times New Roman" w:cs="Times New Roman"/>
          <w:b/>
          <w:i/>
          <w:sz w:val="28"/>
          <w:szCs w:val="28"/>
          <w:lang w:val="ru-RU"/>
        </w:rPr>
      </w:pPr>
      <w:proofErr w:type="spellStart"/>
      <w:r>
        <w:rPr>
          <w:rFonts w:ascii="Times New Roman" w:eastAsia="Times New Roman" w:hAnsi="Times New Roman" w:cs="Times New Roman"/>
          <w:b/>
          <w:i/>
          <w:sz w:val="28"/>
          <w:szCs w:val="28"/>
          <w:lang w:val="ru-RU"/>
        </w:rPr>
        <w:t>Розроблено</w:t>
      </w:r>
      <w:proofErr w:type="spellEnd"/>
    </w:p>
    <w:p w:rsidR="00367C49" w:rsidRDefault="00367C49" w:rsidP="00367C49">
      <w:pPr>
        <w:jc w:val="right"/>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ru-RU"/>
        </w:rPr>
        <w:t xml:space="preserve">Центром </w:t>
      </w:r>
      <w:r>
        <w:rPr>
          <w:rFonts w:ascii="Times New Roman" w:eastAsia="Times New Roman" w:hAnsi="Times New Roman" w:cs="Times New Roman"/>
          <w:b/>
          <w:i/>
          <w:sz w:val="28"/>
          <w:szCs w:val="28"/>
          <w:lang w:val="uk-UA"/>
        </w:rPr>
        <w:t xml:space="preserve">інновацій та розвитку </w:t>
      </w:r>
    </w:p>
    <w:p w:rsidR="00367C49" w:rsidRDefault="00367C49" w:rsidP="00367C49">
      <w:pPr>
        <w:jc w:val="right"/>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Ужгородського національного університету,</w:t>
      </w:r>
    </w:p>
    <w:p w:rsidR="00367C49" w:rsidRPr="00367C49" w:rsidRDefault="00367C49" w:rsidP="00367C49">
      <w:pPr>
        <w:jc w:val="right"/>
        <w:rPr>
          <w:rFonts w:ascii="Times New Roman" w:eastAsia="Times New Roman" w:hAnsi="Times New Roman" w:cs="Times New Roman"/>
          <w:b/>
          <w:i/>
          <w:sz w:val="28"/>
          <w:szCs w:val="28"/>
          <w:lang w:val="uk-UA"/>
        </w:rPr>
      </w:pPr>
      <w:r>
        <w:rPr>
          <w:rFonts w:ascii="Times New Roman" w:eastAsia="Times New Roman" w:hAnsi="Times New Roman" w:cs="Times New Roman"/>
          <w:b/>
          <w:i/>
          <w:sz w:val="28"/>
          <w:szCs w:val="28"/>
          <w:lang w:val="uk-UA"/>
        </w:rPr>
        <w:t>п</w:t>
      </w:r>
      <w:bookmarkStart w:id="25" w:name="_GoBack"/>
      <w:bookmarkEnd w:id="25"/>
      <w:r>
        <w:rPr>
          <w:rFonts w:ascii="Times New Roman" w:eastAsia="Times New Roman" w:hAnsi="Times New Roman" w:cs="Times New Roman"/>
          <w:b/>
          <w:i/>
          <w:sz w:val="28"/>
          <w:szCs w:val="28"/>
          <w:lang w:val="uk-UA"/>
        </w:rPr>
        <w:t xml:space="preserve">ровідною </w:t>
      </w:r>
      <w:proofErr w:type="spellStart"/>
      <w:r>
        <w:rPr>
          <w:rFonts w:ascii="Times New Roman" w:eastAsia="Times New Roman" w:hAnsi="Times New Roman" w:cs="Times New Roman"/>
          <w:b/>
          <w:i/>
          <w:sz w:val="28"/>
          <w:szCs w:val="28"/>
          <w:lang w:val="uk-UA"/>
        </w:rPr>
        <w:t>фахівчинею</w:t>
      </w:r>
      <w:proofErr w:type="spellEnd"/>
      <w:r>
        <w:rPr>
          <w:rFonts w:ascii="Times New Roman" w:eastAsia="Times New Roman" w:hAnsi="Times New Roman" w:cs="Times New Roman"/>
          <w:b/>
          <w:i/>
          <w:sz w:val="28"/>
          <w:szCs w:val="28"/>
          <w:lang w:val="uk-UA"/>
        </w:rPr>
        <w:t xml:space="preserve"> Мариною </w:t>
      </w:r>
      <w:proofErr w:type="spellStart"/>
      <w:r>
        <w:rPr>
          <w:rFonts w:ascii="Times New Roman" w:eastAsia="Times New Roman" w:hAnsi="Times New Roman" w:cs="Times New Roman"/>
          <w:b/>
          <w:i/>
          <w:sz w:val="28"/>
          <w:szCs w:val="28"/>
          <w:lang w:val="uk-UA"/>
        </w:rPr>
        <w:t>Сташин-Неймет</w:t>
      </w:r>
      <w:proofErr w:type="spellEnd"/>
    </w:p>
    <w:p w:rsidR="00444025" w:rsidRDefault="00444025" w:rsidP="00367C49">
      <w:pPr>
        <w:pBdr>
          <w:left w:val="none" w:sz="0" w:space="11" w:color="000000"/>
          <w:bottom w:val="none" w:sz="0" w:space="22" w:color="000000"/>
        </w:pBdr>
        <w:shd w:val="clear" w:color="auto" w:fill="FFFFFF"/>
        <w:spacing w:line="514" w:lineRule="auto"/>
        <w:jc w:val="both"/>
        <w:rPr>
          <w:rFonts w:ascii="Times New Roman" w:eastAsia="Times New Roman" w:hAnsi="Times New Roman" w:cs="Times New Roman"/>
          <w:sz w:val="28"/>
          <w:szCs w:val="28"/>
        </w:rPr>
      </w:pPr>
    </w:p>
    <w:p w:rsidR="00444025" w:rsidRDefault="00444025" w:rsidP="00367C49">
      <w:pPr>
        <w:pBdr>
          <w:left w:val="none" w:sz="0" w:space="11" w:color="000000"/>
          <w:bottom w:val="none" w:sz="0" w:space="22" w:color="000000"/>
        </w:pBdr>
        <w:shd w:val="clear" w:color="auto" w:fill="FFFFFF"/>
        <w:spacing w:line="514" w:lineRule="auto"/>
        <w:jc w:val="both"/>
        <w:rPr>
          <w:rFonts w:ascii="Times New Roman" w:eastAsia="Times New Roman" w:hAnsi="Times New Roman" w:cs="Times New Roman"/>
          <w:sz w:val="28"/>
          <w:szCs w:val="28"/>
        </w:rPr>
      </w:pPr>
    </w:p>
    <w:p w:rsidR="00444025" w:rsidRDefault="00444025" w:rsidP="00367C49">
      <w:pPr>
        <w:numPr>
          <w:ilvl w:val="1"/>
          <w:numId w:val="3"/>
        </w:numPr>
        <w:pBdr>
          <w:bottom w:val="none" w:sz="0" w:space="0" w:color="000000"/>
        </w:pBdr>
        <w:shd w:val="clear" w:color="auto" w:fill="FFFFFF"/>
        <w:spacing w:after="1960" w:line="428" w:lineRule="auto"/>
        <w:ind w:right="600"/>
        <w:jc w:val="both"/>
      </w:pPr>
    </w:p>
    <w:sectPr w:rsidR="00444025">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Roboto">
    <w:charset w:val="00"/>
    <w:family w:val="auto"/>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064F"/>
    <w:multiLevelType w:val="multilevel"/>
    <w:tmpl w:val="64C2D86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2B70B9A"/>
    <w:multiLevelType w:val="multilevel"/>
    <w:tmpl w:val="A8CE89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54C0504"/>
    <w:multiLevelType w:val="multilevel"/>
    <w:tmpl w:val="10CA6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B022649"/>
    <w:multiLevelType w:val="multilevel"/>
    <w:tmpl w:val="D41A9216"/>
    <w:lvl w:ilvl="0">
      <w:start w:val="1"/>
      <w:numFmt w:val="bullet"/>
      <w:lvlText w:val=""/>
      <w:lvlJc w:val="left"/>
      <w:pPr>
        <w:ind w:left="720" w:hanging="360"/>
      </w:pPr>
      <w:rPr>
        <w:rFonts w:ascii="Roboto" w:eastAsia="Roboto" w:hAnsi="Roboto" w:cs="Roboto"/>
        <w:u w:val="none"/>
      </w:rPr>
    </w:lvl>
    <w:lvl w:ilvl="1">
      <w:start w:val="1"/>
      <w:numFmt w:val="bullet"/>
      <w:lvlText w:val=""/>
      <w:lvlJc w:val="left"/>
      <w:pPr>
        <w:ind w:left="1440" w:hanging="360"/>
      </w:pPr>
      <w:rPr>
        <w:rFonts w:ascii="Roboto" w:eastAsia="Roboto" w:hAnsi="Roboto" w:cs="Roboto"/>
        <w:b w:val="0"/>
        <w:color w:val="3A3A3A"/>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2E469E"/>
    <w:multiLevelType w:val="multilevel"/>
    <w:tmpl w:val="B8482E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6A2797D"/>
    <w:multiLevelType w:val="multilevel"/>
    <w:tmpl w:val="1BC828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9643C05"/>
    <w:multiLevelType w:val="multilevel"/>
    <w:tmpl w:val="BC3CC8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68030D3"/>
    <w:multiLevelType w:val="multilevel"/>
    <w:tmpl w:val="828C9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01305C1"/>
    <w:multiLevelType w:val="multilevel"/>
    <w:tmpl w:val="CDD87F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62440AB1"/>
    <w:multiLevelType w:val="multilevel"/>
    <w:tmpl w:val="B6F8F2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6467D9"/>
    <w:multiLevelType w:val="multilevel"/>
    <w:tmpl w:val="6D908A1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73930FB4"/>
    <w:multiLevelType w:val="multilevel"/>
    <w:tmpl w:val="25404A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4FC361E"/>
    <w:multiLevelType w:val="multilevel"/>
    <w:tmpl w:val="AF5865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7F2F7B9C"/>
    <w:multiLevelType w:val="multilevel"/>
    <w:tmpl w:val="C242E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3"/>
  </w:num>
  <w:num w:numId="2">
    <w:abstractNumId w:val="9"/>
  </w:num>
  <w:num w:numId="3">
    <w:abstractNumId w:val="3"/>
  </w:num>
  <w:num w:numId="4">
    <w:abstractNumId w:val="11"/>
  </w:num>
  <w:num w:numId="5">
    <w:abstractNumId w:val="5"/>
  </w:num>
  <w:num w:numId="6">
    <w:abstractNumId w:val="8"/>
  </w:num>
  <w:num w:numId="7">
    <w:abstractNumId w:val="0"/>
  </w:num>
  <w:num w:numId="8">
    <w:abstractNumId w:val="7"/>
  </w:num>
  <w:num w:numId="9">
    <w:abstractNumId w:val="1"/>
  </w:num>
  <w:num w:numId="10">
    <w:abstractNumId w:val="10"/>
  </w:num>
  <w:num w:numId="11">
    <w:abstractNumId w:val="2"/>
  </w:num>
  <w:num w:numId="12">
    <w:abstractNumId w:val="1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025"/>
    <w:rsid w:val="00367C49"/>
    <w:rsid w:val="004440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AA84"/>
  <w15:docId w15:val="{8AE5E8CB-0A52-45B8-9056-540AA64A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366-2021-%D1%80" TargetMode="External"/><Relationship Id="rId13" Type="http://schemas.openxmlformats.org/officeDocument/2006/relationships/hyperlink" Target="https://www.accessibilitychecker.org/" TargetMode="External"/><Relationship Id="rId3" Type="http://schemas.openxmlformats.org/officeDocument/2006/relationships/settings" Target="settings.xml"/><Relationship Id="rId7" Type="http://schemas.openxmlformats.org/officeDocument/2006/relationships/hyperlink" Target="https://zakon.rada.gov.ua/laws/show/2961-15" TargetMode="External"/><Relationship Id="rId12" Type="http://schemas.openxmlformats.org/officeDocument/2006/relationships/hyperlink" Target="https://www.w3.org/Translations/WCAG21-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akon.rada.gov.ua/laws/show/875-12" TargetMode="External"/><Relationship Id="rId11" Type="http://schemas.openxmlformats.org/officeDocument/2006/relationships/hyperlink" Target="https://www.minregion.gov.ua/wp-content/uploads/2018/09/DBN_Osvitlennya-ostatochna.pdf" TargetMode="External"/><Relationship Id="rId5" Type="http://schemas.openxmlformats.org/officeDocument/2006/relationships/hyperlink" Target="https://zakon.rada.gov.ua/laws/show/995_g71" TargetMode="External"/><Relationship Id="rId15" Type="http://schemas.openxmlformats.org/officeDocument/2006/relationships/hyperlink" Target="https://www.powermapper.com/products/sortsite/checks/accessibility-checks/" TargetMode="External"/><Relationship Id="rId10" Type="http://schemas.openxmlformats.org/officeDocument/2006/relationships/hyperlink" Target="https://dreamdim.ua/wp-content/uploads/2019/03/DBN-V2240-2018.pdf" TargetMode="External"/><Relationship Id="rId4" Type="http://schemas.openxmlformats.org/officeDocument/2006/relationships/webSettings" Target="webSettings.xml"/><Relationship Id="rId9" Type="http://schemas.openxmlformats.org/officeDocument/2006/relationships/hyperlink" Target="https://dreamdim.ua/wp-content/uploads/2019/03/DBN-V2240-2018.pdf" TargetMode="External"/><Relationship Id="rId14" Type="http://schemas.openxmlformats.org/officeDocument/2006/relationships/hyperlink" Target="https://achecker.achecks.ca/checker/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13525</Words>
  <Characters>7710</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2023-07-13T05:52:00Z</dcterms:created>
  <dcterms:modified xsi:type="dcterms:W3CDTF">2023-07-13T05:52:00Z</dcterms:modified>
</cp:coreProperties>
</file>