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2D95" w14:textId="77777777" w:rsidR="00DD5AF3" w:rsidRPr="00AE28F7" w:rsidRDefault="00DD5AF3" w:rsidP="00DD5AF3">
      <w:pPr>
        <w:pStyle w:val="1"/>
        <w:spacing w:before="53"/>
      </w:pPr>
      <w:r w:rsidRPr="00AE28F7">
        <w:t>Інформація про вибіркову дисципліну циклу загальної підготовки</w:t>
      </w:r>
    </w:p>
    <w:p w14:paraId="52DE852B" w14:textId="77777777" w:rsidR="00426EE1" w:rsidRPr="00AE28F7" w:rsidRDefault="00DD5AF3" w:rsidP="00426EE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AE28F7">
        <w:rPr>
          <w:sz w:val="28"/>
          <w:szCs w:val="28"/>
          <w:lang w:val="ru-RU"/>
        </w:rPr>
        <w:t xml:space="preserve">для «Каталогу </w:t>
      </w:r>
      <w:proofErr w:type="spellStart"/>
      <w:r w:rsidRPr="00AE28F7">
        <w:rPr>
          <w:sz w:val="28"/>
          <w:szCs w:val="28"/>
          <w:lang w:val="ru-RU"/>
        </w:rPr>
        <w:t>вибіркових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курсів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університету</w:t>
      </w:r>
      <w:proofErr w:type="spellEnd"/>
      <w:r w:rsidRPr="00AE28F7">
        <w:rPr>
          <w:sz w:val="28"/>
          <w:szCs w:val="28"/>
          <w:lang w:val="ru-RU"/>
        </w:rPr>
        <w:t>»</w:t>
      </w:r>
      <w:r w:rsidR="00426EE1" w:rsidRPr="00AE28F7">
        <w:rPr>
          <w:sz w:val="28"/>
          <w:szCs w:val="28"/>
          <w:lang w:val="ru-RU"/>
        </w:rPr>
        <w:t xml:space="preserve"> </w:t>
      </w:r>
      <w:r w:rsidR="00426EE1" w:rsidRPr="00AE28F7">
        <w:rPr>
          <w:sz w:val="28"/>
          <w:szCs w:val="28"/>
          <w:lang w:val="uk-UA"/>
        </w:rPr>
        <w:t>на 2022/2023 н.р.</w:t>
      </w:r>
    </w:p>
    <w:p w14:paraId="3DA7ACDF" w14:textId="77777777" w:rsidR="00DD5AF3" w:rsidRPr="00AE28F7" w:rsidRDefault="00DD5AF3" w:rsidP="00DD5AF3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14:paraId="649FB037" w14:textId="77777777" w:rsidR="00DD5AF3" w:rsidRPr="00AE28F7" w:rsidRDefault="00DD5AF3" w:rsidP="00DD5AF3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AE28F7" w14:paraId="6B76C2D7" w14:textId="77777777" w:rsidTr="0094084A">
        <w:trPr>
          <w:trHeight w:val="369"/>
        </w:trPr>
        <w:tc>
          <w:tcPr>
            <w:tcW w:w="4117" w:type="dxa"/>
          </w:tcPr>
          <w:p w14:paraId="5D38199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4C3A164F" w14:textId="7457D996" w:rsidR="00DD5AF3" w:rsidRPr="00AE28F7" w:rsidRDefault="00E90BE3" w:rsidP="00AE28F7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Міжнародні банківські операції</w:t>
            </w:r>
          </w:p>
        </w:tc>
      </w:tr>
      <w:tr w:rsidR="00DD5AF3" w:rsidRPr="00AE28F7" w14:paraId="79643B1D" w14:textId="77777777" w:rsidTr="0094084A">
        <w:trPr>
          <w:trHeight w:val="371"/>
        </w:trPr>
        <w:tc>
          <w:tcPr>
            <w:tcW w:w="4117" w:type="dxa"/>
          </w:tcPr>
          <w:p w14:paraId="461DB2C2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C5F91AB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D5AF3" w:rsidRPr="00AE28F7" w14:paraId="0F8754D3" w14:textId="77777777" w:rsidTr="0094084A">
        <w:trPr>
          <w:trHeight w:val="369"/>
        </w:trPr>
        <w:tc>
          <w:tcPr>
            <w:tcW w:w="4117" w:type="dxa"/>
          </w:tcPr>
          <w:p w14:paraId="153CBA41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55C206AF" w14:textId="74DDF7B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3, 4, 5</w:t>
            </w:r>
          </w:p>
        </w:tc>
      </w:tr>
      <w:tr w:rsidR="00DD5AF3" w:rsidRPr="00AE28F7" w14:paraId="077F7731" w14:textId="77777777" w:rsidTr="0094084A">
        <w:trPr>
          <w:trHeight w:val="371"/>
        </w:trPr>
        <w:tc>
          <w:tcPr>
            <w:tcW w:w="4117" w:type="dxa"/>
          </w:tcPr>
          <w:p w14:paraId="55CDCFA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53A54CC8" w14:textId="57FDC3F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5, 6, 7, 8, 9, 10</w:t>
            </w:r>
          </w:p>
        </w:tc>
      </w:tr>
      <w:tr w:rsidR="00DD5AF3" w:rsidRPr="00AE28F7" w14:paraId="0F3EF39B" w14:textId="77777777" w:rsidTr="0094084A">
        <w:trPr>
          <w:trHeight w:val="369"/>
        </w:trPr>
        <w:tc>
          <w:tcPr>
            <w:tcW w:w="4117" w:type="dxa"/>
          </w:tcPr>
          <w:p w14:paraId="400C40C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311F0CE8" w14:textId="77777777" w:rsidR="00DD5AF3" w:rsidRPr="00AE28F7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DD5AF3" w:rsidRPr="00AE28F7" w14:paraId="526E14B7" w14:textId="77777777" w:rsidTr="0094084A">
        <w:trPr>
          <w:trHeight w:val="369"/>
        </w:trPr>
        <w:tc>
          <w:tcPr>
            <w:tcW w:w="4117" w:type="dxa"/>
          </w:tcPr>
          <w:p w14:paraId="7D14342E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0B22D5BB" w14:textId="77777777" w:rsidR="00DD5AF3" w:rsidRPr="00AE28F7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2649DC" w:rsidRPr="00AE28F7">
              <w:rPr>
                <w:sz w:val="28"/>
                <w:szCs w:val="28"/>
                <w:lang w:val="ru-RU"/>
              </w:rPr>
              <w:t>У</w:t>
            </w:r>
            <w:r w:rsidRPr="00AE28F7">
              <w:rPr>
                <w:sz w:val="28"/>
                <w:szCs w:val="28"/>
                <w:lang w:val="ru-RU"/>
              </w:rPr>
              <w:t>кр</w:t>
            </w:r>
            <w:r w:rsidR="00F35395" w:rsidRPr="00AE28F7">
              <w:rPr>
                <w:sz w:val="28"/>
                <w:szCs w:val="28"/>
                <w:lang w:val="ru-RU"/>
              </w:rPr>
              <w:t>аїнська</w:t>
            </w:r>
            <w:proofErr w:type="spellEnd"/>
          </w:p>
        </w:tc>
      </w:tr>
      <w:tr w:rsidR="00DD5AF3" w:rsidRPr="00AE28F7" w14:paraId="1AB82D61" w14:textId="77777777" w:rsidTr="0094084A">
        <w:trPr>
          <w:trHeight w:val="645"/>
        </w:trPr>
        <w:tc>
          <w:tcPr>
            <w:tcW w:w="4117" w:type="dxa"/>
          </w:tcPr>
          <w:p w14:paraId="641D89A5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Передумови для вивчення</w:t>
            </w:r>
          </w:p>
          <w:p w14:paraId="5C365EA0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2CD8F83E" w14:textId="77777777" w:rsidR="00DD5AF3" w:rsidRPr="00AE28F7" w:rsidRDefault="00A1756D" w:rsidP="00AE28F7">
            <w:pPr>
              <w:spacing w:after="9" w:line="259" w:lineRule="auto"/>
              <w:ind w:left="127" w:right="0"/>
              <w:rPr>
                <w:sz w:val="28"/>
              </w:rPr>
            </w:pPr>
            <w:r w:rsidRPr="00AE28F7">
              <w:rPr>
                <w:sz w:val="28"/>
                <w:lang w:eastAsia="ru-RU"/>
              </w:rPr>
              <w:t>Передумовами вивчення навчальної дисципліни є опанування таких навчальних дисциплін: інформатика, політична економія, економіка підприємства.</w:t>
            </w:r>
          </w:p>
        </w:tc>
      </w:tr>
      <w:tr w:rsidR="00DD5AF3" w:rsidRPr="00AE28F7" w14:paraId="557EBFD3" w14:textId="77777777" w:rsidTr="0094084A">
        <w:trPr>
          <w:trHeight w:val="642"/>
        </w:trPr>
        <w:tc>
          <w:tcPr>
            <w:tcW w:w="4117" w:type="dxa"/>
          </w:tcPr>
          <w:p w14:paraId="26B1A75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Кафедра, яка забезпечує</w:t>
            </w:r>
          </w:p>
          <w:p w14:paraId="086CE0C4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53F768DD" w14:textId="77777777" w:rsidR="00DD5AF3" w:rsidRPr="00AE28F7" w:rsidRDefault="00A1756D" w:rsidP="00AE28F7">
            <w:pPr>
              <w:pStyle w:val="TableParagraph"/>
              <w:ind w:left="127"/>
              <w:rPr>
                <w:sz w:val="28"/>
                <w:szCs w:val="28"/>
                <w:lang w:val="ru-RU"/>
              </w:rPr>
            </w:pPr>
            <w:proofErr w:type="spellStart"/>
            <w:r w:rsidRPr="00AE28F7">
              <w:rPr>
                <w:sz w:val="28"/>
                <w:szCs w:val="28"/>
                <w:lang w:val="ru-RU"/>
              </w:rPr>
              <w:t>Економічної</w:t>
            </w:r>
            <w:proofErr w:type="spellEnd"/>
            <w:r w:rsidRPr="00AE28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28F7">
              <w:rPr>
                <w:sz w:val="28"/>
                <w:szCs w:val="28"/>
                <w:lang w:val="ru-RU"/>
              </w:rPr>
              <w:t>теорії</w:t>
            </w:r>
            <w:proofErr w:type="spellEnd"/>
          </w:p>
        </w:tc>
      </w:tr>
      <w:tr w:rsidR="00DD5AF3" w:rsidRPr="00AE28F7" w14:paraId="54EEBB7D" w14:textId="77777777" w:rsidTr="0094084A">
        <w:trPr>
          <w:trHeight w:val="371"/>
        </w:trPr>
        <w:tc>
          <w:tcPr>
            <w:tcW w:w="4117" w:type="dxa"/>
          </w:tcPr>
          <w:p w14:paraId="7A91DDD0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8F75E70" w14:textId="77777777" w:rsidR="00DD5AF3" w:rsidRPr="00AE28F7" w:rsidRDefault="00DD5AF3" w:rsidP="00AE28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D5AF3" w:rsidRPr="00AE28F7" w14:paraId="68E71AF4" w14:textId="77777777" w:rsidTr="0094084A">
        <w:trPr>
          <w:trHeight w:val="369"/>
        </w:trPr>
        <w:tc>
          <w:tcPr>
            <w:tcW w:w="4117" w:type="dxa"/>
          </w:tcPr>
          <w:p w14:paraId="659B8B37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B38B0E6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Лекції,</w:t>
            </w: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практичні</w:t>
            </w:r>
          </w:p>
        </w:tc>
      </w:tr>
      <w:tr w:rsidR="00DD5AF3" w:rsidRPr="00AE28F7" w14:paraId="141AB28E" w14:textId="77777777" w:rsidTr="0094084A">
        <w:trPr>
          <w:trHeight w:val="371"/>
        </w:trPr>
        <w:tc>
          <w:tcPr>
            <w:tcW w:w="4117" w:type="dxa"/>
          </w:tcPr>
          <w:p w14:paraId="0501F3B6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36EF4444" w14:textId="771F5D88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5F4D76">
              <w:rPr>
                <w:sz w:val="28"/>
                <w:szCs w:val="28"/>
              </w:rPr>
              <w:t>Залік (іспит)</w:t>
            </w:r>
          </w:p>
        </w:tc>
      </w:tr>
    </w:tbl>
    <w:p w14:paraId="5F40C0DC" w14:textId="77777777" w:rsidR="00DD5AF3" w:rsidRPr="00AE28F7" w:rsidRDefault="00DD5AF3" w:rsidP="00DD5AF3">
      <w:pPr>
        <w:pStyle w:val="a3"/>
        <w:spacing w:before="6"/>
        <w:rPr>
          <w:sz w:val="28"/>
          <w:szCs w:val="28"/>
          <w:lang w:val="ru-RU"/>
        </w:rPr>
      </w:pPr>
    </w:p>
    <w:p w14:paraId="52339881" w14:textId="77777777" w:rsidR="00DD5AF3" w:rsidRPr="00AE28F7" w:rsidRDefault="00DD5AF3" w:rsidP="00DD5AF3">
      <w:pPr>
        <w:pStyle w:val="a3"/>
        <w:ind w:left="258"/>
        <w:rPr>
          <w:b/>
          <w:sz w:val="28"/>
          <w:szCs w:val="28"/>
          <w:lang w:val="ru-RU"/>
        </w:rPr>
      </w:pPr>
      <w:proofErr w:type="spellStart"/>
      <w:r w:rsidRPr="00AE28F7">
        <w:rPr>
          <w:b/>
          <w:sz w:val="28"/>
          <w:szCs w:val="28"/>
          <w:lang w:val="ru-RU"/>
        </w:rPr>
        <w:t>Ключові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результати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навчання</w:t>
      </w:r>
      <w:proofErr w:type="spellEnd"/>
      <w:r w:rsidRPr="00AE28F7">
        <w:rPr>
          <w:b/>
          <w:sz w:val="28"/>
          <w:szCs w:val="28"/>
          <w:lang w:val="ru-RU"/>
        </w:rPr>
        <w:t xml:space="preserve"> (</w:t>
      </w:r>
      <w:proofErr w:type="spellStart"/>
      <w:r w:rsidRPr="00AE28F7">
        <w:rPr>
          <w:b/>
          <w:sz w:val="28"/>
          <w:szCs w:val="28"/>
          <w:lang w:val="ru-RU"/>
        </w:rPr>
        <w:t>знання</w:t>
      </w:r>
      <w:proofErr w:type="spellEnd"/>
      <w:r w:rsidRPr="00AE28F7">
        <w:rPr>
          <w:b/>
          <w:sz w:val="28"/>
          <w:szCs w:val="28"/>
          <w:lang w:val="ru-RU"/>
        </w:rPr>
        <w:t xml:space="preserve">, </w:t>
      </w:r>
      <w:proofErr w:type="spellStart"/>
      <w:r w:rsidRPr="00AE28F7">
        <w:rPr>
          <w:b/>
          <w:sz w:val="28"/>
          <w:szCs w:val="28"/>
          <w:lang w:val="ru-RU"/>
        </w:rPr>
        <w:t>уміння</w:t>
      </w:r>
      <w:proofErr w:type="spellEnd"/>
      <w:r w:rsidRPr="00AE28F7">
        <w:rPr>
          <w:b/>
          <w:sz w:val="28"/>
          <w:szCs w:val="28"/>
          <w:lang w:val="ru-RU"/>
        </w:rPr>
        <w:t xml:space="preserve"> та </w:t>
      </w:r>
      <w:proofErr w:type="spellStart"/>
      <w:r w:rsidRPr="00AE28F7">
        <w:rPr>
          <w:b/>
          <w:sz w:val="28"/>
          <w:szCs w:val="28"/>
          <w:lang w:val="ru-RU"/>
        </w:rPr>
        <w:t>інші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компетентності</w:t>
      </w:r>
      <w:proofErr w:type="spellEnd"/>
      <w:r w:rsidRPr="00AE28F7">
        <w:rPr>
          <w:b/>
          <w:sz w:val="28"/>
          <w:szCs w:val="28"/>
          <w:lang w:val="ru-RU"/>
        </w:rPr>
        <w:t>):</w:t>
      </w:r>
    </w:p>
    <w:p w14:paraId="206E6BE0" w14:textId="77777777" w:rsidR="00A1756D" w:rsidRPr="00AE28F7" w:rsidRDefault="00A1756D" w:rsidP="00DD5AF3">
      <w:pPr>
        <w:pStyle w:val="a3"/>
        <w:ind w:left="258"/>
        <w:rPr>
          <w:b/>
          <w:sz w:val="28"/>
          <w:szCs w:val="28"/>
          <w:lang w:val="ru-RU"/>
        </w:rPr>
      </w:pPr>
    </w:p>
    <w:p w14:paraId="472D3024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</w:rPr>
      </w:pPr>
      <w:r w:rsidRPr="00AE28F7">
        <w:rPr>
          <w:sz w:val="28"/>
        </w:rPr>
        <w:t>Мета дисципліни: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і відповідних їм інформаційними, фінансовими та сервісними потоками в сучасних умовах.</w:t>
      </w:r>
    </w:p>
    <w:p w14:paraId="2B9C9EA9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  <w:lang w:val="ru-RU"/>
        </w:rPr>
      </w:pPr>
      <w:proofErr w:type="spellStart"/>
      <w:r w:rsidRPr="00AE28F7">
        <w:rPr>
          <w:sz w:val="28"/>
          <w:lang w:val="ru-RU"/>
        </w:rPr>
        <w:t>Відповідно</w:t>
      </w:r>
      <w:proofErr w:type="spellEnd"/>
      <w:r w:rsidRPr="00AE28F7">
        <w:rPr>
          <w:sz w:val="28"/>
          <w:lang w:val="ru-RU"/>
        </w:rPr>
        <w:t xml:space="preserve"> до </w:t>
      </w:r>
      <w:proofErr w:type="spellStart"/>
      <w:r w:rsidRPr="00AE28F7">
        <w:rPr>
          <w:sz w:val="28"/>
          <w:lang w:val="ru-RU"/>
        </w:rPr>
        <w:t>освітньої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програми</w:t>
      </w:r>
      <w:proofErr w:type="spellEnd"/>
      <w:r w:rsidRPr="00AE28F7">
        <w:rPr>
          <w:sz w:val="28"/>
          <w:lang w:val="ru-RU"/>
        </w:rPr>
        <w:t xml:space="preserve">, </w:t>
      </w:r>
      <w:proofErr w:type="spellStart"/>
      <w:r w:rsidRPr="00AE28F7">
        <w:rPr>
          <w:sz w:val="28"/>
          <w:lang w:val="ru-RU"/>
        </w:rPr>
        <w:t>вивчення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даної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дисципліни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сприяє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формуванню</w:t>
      </w:r>
      <w:proofErr w:type="spellEnd"/>
      <w:r w:rsidRPr="00AE28F7">
        <w:rPr>
          <w:sz w:val="28"/>
          <w:lang w:val="ru-RU"/>
        </w:rPr>
        <w:t xml:space="preserve"> у </w:t>
      </w:r>
      <w:proofErr w:type="spellStart"/>
      <w:r w:rsidRPr="00AE28F7">
        <w:rPr>
          <w:sz w:val="28"/>
          <w:lang w:val="ru-RU"/>
        </w:rPr>
        <w:t>здобувачів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вищої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освіти</w:t>
      </w:r>
      <w:proofErr w:type="spellEnd"/>
      <w:r w:rsidRPr="00AE28F7">
        <w:rPr>
          <w:sz w:val="28"/>
          <w:lang w:val="ru-RU"/>
        </w:rPr>
        <w:t xml:space="preserve"> таких компетентностей:  </w:t>
      </w:r>
    </w:p>
    <w:p w14:paraId="327F7B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ЗК4. Здатність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застосовувати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знання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у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практичних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ситуаціях.</w:t>
      </w:r>
    </w:p>
    <w:p w14:paraId="5FA2A0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ЗК5. Здатність спілкуватися державною мовою як усно,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так</w:t>
      </w:r>
      <w:r w:rsidRPr="00AE28F7">
        <w:rPr>
          <w:spacing w:val="-1"/>
          <w:sz w:val="28"/>
          <w:szCs w:val="28"/>
        </w:rPr>
        <w:t xml:space="preserve"> </w:t>
      </w:r>
      <w:r w:rsidRPr="00AE28F7">
        <w:rPr>
          <w:sz w:val="28"/>
          <w:szCs w:val="28"/>
        </w:rPr>
        <w:t>і письмово.</w:t>
      </w:r>
    </w:p>
    <w:p w14:paraId="7CE54230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ЗК7. Навички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використання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інформаційних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комунікаційних технологій.</w:t>
      </w:r>
    </w:p>
    <w:p w14:paraId="02291A7C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ЗК9.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до </w:t>
      </w:r>
      <w:proofErr w:type="spellStart"/>
      <w:r w:rsidRPr="00AE28F7">
        <w:rPr>
          <w:sz w:val="28"/>
          <w:szCs w:val="28"/>
          <w:lang w:val="ru-RU"/>
        </w:rPr>
        <w:t>адаптації</w:t>
      </w:r>
      <w:proofErr w:type="spellEnd"/>
      <w:r w:rsidRPr="00AE28F7">
        <w:rPr>
          <w:sz w:val="28"/>
          <w:szCs w:val="28"/>
          <w:lang w:val="ru-RU"/>
        </w:rPr>
        <w:t xml:space="preserve"> та </w:t>
      </w:r>
      <w:proofErr w:type="spellStart"/>
      <w:r w:rsidRPr="00AE28F7">
        <w:rPr>
          <w:sz w:val="28"/>
          <w:szCs w:val="28"/>
          <w:lang w:val="ru-RU"/>
        </w:rPr>
        <w:t>дій</w:t>
      </w:r>
      <w:proofErr w:type="spellEnd"/>
      <w:r w:rsidRPr="00AE28F7">
        <w:rPr>
          <w:sz w:val="28"/>
          <w:szCs w:val="28"/>
          <w:lang w:val="ru-RU"/>
        </w:rPr>
        <w:t xml:space="preserve"> в </w:t>
      </w:r>
      <w:proofErr w:type="spellStart"/>
      <w:r w:rsidRPr="00AE28F7">
        <w:rPr>
          <w:sz w:val="28"/>
          <w:szCs w:val="28"/>
          <w:lang w:val="ru-RU"/>
        </w:rPr>
        <w:t>новій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ситуації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7DE9C203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ЗК11.</w:t>
      </w:r>
      <w:r w:rsidRPr="00AE28F7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приймати</w:t>
      </w:r>
      <w:proofErr w:type="spellEnd"/>
      <w:r w:rsidRPr="00AE28F7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обґрунтовані</w:t>
      </w:r>
      <w:proofErr w:type="spellEnd"/>
      <w:r w:rsidRPr="00AE28F7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рішення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0BC4EB6D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СК2.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здійснювати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професійну</w:t>
      </w:r>
      <w:proofErr w:type="spellEnd"/>
      <w:r w:rsidRPr="00AE28F7">
        <w:rPr>
          <w:sz w:val="28"/>
          <w:szCs w:val="28"/>
          <w:lang w:val="ru-RU"/>
        </w:rPr>
        <w:tab/>
      </w:r>
      <w:proofErr w:type="spellStart"/>
      <w:r w:rsidRPr="00AE28F7">
        <w:rPr>
          <w:sz w:val="28"/>
          <w:szCs w:val="28"/>
          <w:lang w:val="ru-RU"/>
        </w:rPr>
        <w:t>діяльність</w:t>
      </w:r>
      <w:proofErr w:type="spellEnd"/>
      <w:r w:rsidRPr="00AE28F7">
        <w:rPr>
          <w:sz w:val="28"/>
          <w:szCs w:val="28"/>
          <w:lang w:val="ru-RU"/>
        </w:rPr>
        <w:tab/>
      </w:r>
      <w:r w:rsidRPr="00AE28F7">
        <w:rPr>
          <w:spacing w:val="-3"/>
          <w:sz w:val="28"/>
          <w:szCs w:val="28"/>
          <w:lang w:val="ru-RU"/>
        </w:rPr>
        <w:t>у</w:t>
      </w:r>
      <w:r w:rsidRPr="00AE28F7">
        <w:rPr>
          <w:spacing w:val="-67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відповідності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</w:t>
      </w:r>
      <w:r w:rsidRPr="00AE28F7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чинними</w:t>
      </w:r>
      <w:proofErr w:type="spellEnd"/>
      <w:r w:rsidRPr="00AE28F7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нормативними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правовими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1C88623B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СК7.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застосовувати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комп’ютерні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технології</w:t>
      </w:r>
      <w:proofErr w:type="spellEnd"/>
      <w:r w:rsidRPr="00AE28F7">
        <w:rPr>
          <w:sz w:val="28"/>
          <w:szCs w:val="28"/>
          <w:lang w:val="ru-RU"/>
        </w:rPr>
        <w:t xml:space="preserve"> 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програмне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забезпечення</w:t>
      </w:r>
      <w:proofErr w:type="spellEnd"/>
      <w:r w:rsidRPr="00AE28F7">
        <w:rPr>
          <w:sz w:val="28"/>
          <w:szCs w:val="28"/>
          <w:lang w:val="ru-RU"/>
        </w:rPr>
        <w:t xml:space="preserve"> з </w:t>
      </w:r>
      <w:proofErr w:type="spellStart"/>
      <w:r w:rsidRPr="00AE28F7">
        <w:rPr>
          <w:sz w:val="28"/>
          <w:szCs w:val="28"/>
          <w:lang w:val="ru-RU"/>
        </w:rPr>
        <w:t>обробки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даних</w:t>
      </w:r>
      <w:proofErr w:type="spellEnd"/>
      <w:r w:rsidRPr="00AE28F7">
        <w:rPr>
          <w:sz w:val="28"/>
          <w:szCs w:val="28"/>
          <w:lang w:val="ru-RU"/>
        </w:rPr>
        <w:t xml:space="preserve"> для </w:t>
      </w:r>
      <w:proofErr w:type="spellStart"/>
      <w:r w:rsidRPr="00AE28F7">
        <w:rPr>
          <w:sz w:val="28"/>
          <w:szCs w:val="28"/>
          <w:lang w:val="ru-RU"/>
        </w:rPr>
        <w:t>вирішення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економічних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завдань</w:t>
      </w:r>
      <w:proofErr w:type="spellEnd"/>
      <w:r w:rsidRPr="00AE28F7">
        <w:rPr>
          <w:sz w:val="28"/>
          <w:szCs w:val="28"/>
          <w:lang w:val="ru-RU"/>
        </w:rPr>
        <w:t>,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аналізу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інформації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підготовки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аналітичних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звітів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372D3CAA" w14:textId="77777777" w:rsidR="00AE28F7" w:rsidRDefault="00AE28F7" w:rsidP="00DD5AF3">
      <w:pPr>
        <w:pStyle w:val="a3"/>
        <w:spacing w:before="89"/>
        <w:ind w:left="258"/>
        <w:rPr>
          <w:b/>
          <w:sz w:val="28"/>
          <w:szCs w:val="28"/>
          <w:lang w:val="ru-RU"/>
        </w:rPr>
      </w:pPr>
    </w:p>
    <w:p w14:paraId="29D91855" w14:textId="77777777" w:rsidR="00623141" w:rsidRDefault="00623141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694351B7" w14:textId="77777777" w:rsidR="00E90BE3" w:rsidRDefault="00E90BE3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08EAC28" w14:textId="74A44087" w:rsidR="00DD5AF3" w:rsidRPr="004B2B54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  <w:r w:rsidRPr="004B2B54">
        <w:rPr>
          <w:b/>
          <w:sz w:val="28"/>
          <w:szCs w:val="28"/>
          <w:lang w:val="ru-RU"/>
        </w:rPr>
        <w:lastRenderedPageBreak/>
        <w:t xml:space="preserve">Короткий </w:t>
      </w:r>
      <w:proofErr w:type="spellStart"/>
      <w:r w:rsidRPr="004B2B54">
        <w:rPr>
          <w:b/>
          <w:sz w:val="28"/>
          <w:szCs w:val="28"/>
          <w:lang w:val="ru-RU"/>
        </w:rPr>
        <w:t>зміст</w:t>
      </w:r>
      <w:proofErr w:type="spellEnd"/>
      <w:r w:rsidRPr="004B2B54">
        <w:rPr>
          <w:b/>
          <w:sz w:val="28"/>
          <w:szCs w:val="28"/>
          <w:lang w:val="ru-RU"/>
        </w:rPr>
        <w:t xml:space="preserve"> </w:t>
      </w:r>
      <w:proofErr w:type="spellStart"/>
      <w:r w:rsidRPr="004B2B54">
        <w:rPr>
          <w:b/>
          <w:sz w:val="28"/>
          <w:szCs w:val="28"/>
          <w:lang w:val="ru-RU"/>
        </w:rPr>
        <w:t>дисципліни</w:t>
      </w:r>
      <w:proofErr w:type="spellEnd"/>
      <w:r w:rsidRPr="004B2B54">
        <w:rPr>
          <w:b/>
          <w:sz w:val="28"/>
          <w:szCs w:val="28"/>
          <w:lang w:val="ru-RU"/>
        </w:rPr>
        <w:t xml:space="preserve"> (</w:t>
      </w:r>
      <w:proofErr w:type="spellStart"/>
      <w:r w:rsidR="00AE28F7" w:rsidRPr="004B2B54">
        <w:rPr>
          <w:b/>
          <w:sz w:val="28"/>
          <w:szCs w:val="28"/>
          <w:lang w:val="ru-RU"/>
        </w:rPr>
        <w:t>що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буде </w:t>
      </w:r>
      <w:proofErr w:type="spellStart"/>
      <w:r w:rsidR="00AE28F7" w:rsidRPr="004B2B54">
        <w:rPr>
          <w:b/>
          <w:sz w:val="28"/>
          <w:szCs w:val="28"/>
          <w:lang w:val="ru-RU"/>
        </w:rPr>
        <w:t>вивчатися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, </w:t>
      </w:r>
      <w:proofErr w:type="spellStart"/>
      <w:r w:rsidR="00AE28F7" w:rsidRPr="004B2B54">
        <w:rPr>
          <w:b/>
          <w:sz w:val="28"/>
          <w:szCs w:val="28"/>
          <w:lang w:val="ru-RU"/>
        </w:rPr>
        <w:t>перелік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тем</w:t>
      </w:r>
      <w:r w:rsidR="00623141" w:rsidRPr="004B2B54">
        <w:rPr>
          <w:b/>
          <w:sz w:val="28"/>
          <w:szCs w:val="28"/>
          <w:lang w:val="ru-RU"/>
        </w:rPr>
        <w:t>):</w:t>
      </w:r>
    </w:p>
    <w:p w14:paraId="1C6F4C6E" w14:textId="77777777" w:rsidR="00DD5AF3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</w:p>
    <w:p w14:paraId="7551B695" w14:textId="77777777" w:rsidR="00291C63" w:rsidRPr="004B2B54" w:rsidRDefault="00291C6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</w:p>
    <w:p w14:paraId="24ECB612" w14:textId="77777777" w:rsidR="000F5E27" w:rsidRDefault="000F5E27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proofErr w:type="spellStart"/>
      <w:r w:rsidRPr="008725C6">
        <w:rPr>
          <w:b/>
          <w:color w:val="000000"/>
          <w:sz w:val="28"/>
          <w:lang w:val="en-US"/>
        </w:rPr>
        <w:t>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1. </w:t>
      </w:r>
      <w:proofErr w:type="spellStart"/>
      <w:r w:rsidRPr="008725C6">
        <w:rPr>
          <w:b/>
          <w:color w:val="000000"/>
          <w:sz w:val="28"/>
          <w:lang w:val="en-US"/>
        </w:rPr>
        <w:t>Поняття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та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особливості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міжнародних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розрахунків</w:t>
      </w:r>
      <w:proofErr w:type="spellEnd"/>
    </w:p>
    <w:p w14:paraId="4FEDEAB3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</w:p>
    <w:p w14:paraId="41425D38" w14:textId="77777777" w:rsidR="000F5E27" w:rsidRPr="008725C6" w:rsidRDefault="000F5E27" w:rsidP="008725C6">
      <w:pPr>
        <w:ind w:firstLine="567"/>
        <w:rPr>
          <w:color w:val="000000"/>
          <w:sz w:val="28"/>
          <w:lang w:val="en-US"/>
        </w:rPr>
      </w:pPr>
      <w:proofErr w:type="spellStart"/>
      <w:r w:rsidRPr="008725C6">
        <w:rPr>
          <w:color w:val="000000"/>
          <w:sz w:val="28"/>
          <w:lang w:val="en-US"/>
        </w:rPr>
        <w:t>Міжнародні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розрахунки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8725C6">
        <w:rPr>
          <w:color w:val="000000"/>
          <w:sz w:val="28"/>
          <w:lang w:val="en-US"/>
        </w:rPr>
        <w:t>Механізм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розрахунків</w:t>
      </w:r>
      <w:proofErr w:type="spellEnd"/>
      <w:r w:rsidRPr="008725C6">
        <w:rPr>
          <w:color w:val="000000"/>
          <w:sz w:val="28"/>
          <w:lang w:val="en-US"/>
        </w:rPr>
        <w:t xml:space="preserve"> у </w:t>
      </w:r>
      <w:proofErr w:type="spellStart"/>
      <w:r w:rsidRPr="008725C6">
        <w:rPr>
          <w:color w:val="000000"/>
          <w:sz w:val="28"/>
          <w:lang w:val="en-US"/>
        </w:rPr>
        <w:t>зовнішньоторговельних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операціях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Способи</w:t>
      </w:r>
      <w:proofErr w:type="spellEnd"/>
      <w:r w:rsidRPr="008725C6">
        <w:rPr>
          <w:color w:val="000000"/>
          <w:sz w:val="28"/>
          <w:lang w:val="en-US"/>
        </w:rPr>
        <w:t xml:space="preserve"> і </w:t>
      </w:r>
      <w:proofErr w:type="spellStart"/>
      <w:r w:rsidRPr="008725C6">
        <w:rPr>
          <w:color w:val="000000"/>
          <w:sz w:val="28"/>
          <w:lang w:val="en-US"/>
        </w:rPr>
        <w:t>засоби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платежів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що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використовуються</w:t>
      </w:r>
      <w:proofErr w:type="spellEnd"/>
      <w:r w:rsidRPr="008725C6">
        <w:rPr>
          <w:color w:val="000000"/>
          <w:sz w:val="28"/>
          <w:lang w:val="en-US"/>
        </w:rPr>
        <w:t xml:space="preserve"> в </w:t>
      </w:r>
      <w:proofErr w:type="spellStart"/>
      <w:r w:rsidRPr="008725C6">
        <w:rPr>
          <w:color w:val="000000"/>
          <w:sz w:val="28"/>
          <w:lang w:val="en-US"/>
        </w:rPr>
        <w:t>міжнародніи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торгівлі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Форми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міжнародних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розрахунків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контрагентами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Форми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розрахунків</w:t>
      </w:r>
      <w:proofErr w:type="spellEnd"/>
      <w:r w:rsidRPr="008725C6">
        <w:rPr>
          <w:color w:val="000000"/>
          <w:sz w:val="28"/>
          <w:lang w:val="en-US"/>
        </w:rPr>
        <w:t xml:space="preserve"> в </w:t>
      </w:r>
      <w:proofErr w:type="spellStart"/>
      <w:r w:rsidRPr="008725C6">
        <w:rPr>
          <w:color w:val="000000"/>
          <w:sz w:val="28"/>
          <w:lang w:val="en-US"/>
        </w:rPr>
        <w:t>міжнародніи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торгівлі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Основні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функціі</w:t>
      </w:r>
      <w:proofErr w:type="spellEnd"/>
      <w:r w:rsidRPr="008725C6">
        <w:rPr>
          <w:color w:val="000000"/>
          <w:sz w:val="28"/>
          <w:lang w:val="en-US"/>
        </w:rPr>
        <w:t xml:space="preserve">̈ </w:t>
      </w:r>
      <w:proofErr w:type="spellStart"/>
      <w:r w:rsidRPr="008725C6">
        <w:rPr>
          <w:color w:val="000000"/>
          <w:sz w:val="28"/>
          <w:lang w:val="en-US"/>
        </w:rPr>
        <w:t>банків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щодо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обслуговування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суб’єктів</w:t>
      </w:r>
      <w:proofErr w:type="spellEnd"/>
      <w:r w:rsidRPr="008725C6">
        <w:rPr>
          <w:color w:val="000000"/>
          <w:sz w:val="28"/>
          <w:lang w:val="en-US"/>
        </w:rPr>
        <w:t xml:space="preserve"> ЗЕД.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Функції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банківських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установ</w:t>
      </w:r>
      <w:proofErr w:type="spellEnd"/>
      <w:r w:rsidRPr="008725C6">
        <w:rPr>
          <w:color w:val="000000"/>
          <w:sz w:val="28"/>
          <w:lang w:val="en-US"/>
        </w:rPr>
        <w:t xml:space="preserve"> в </w:t>
      </w:r>
      <w:proofErr w:type="spellStart"/>
      <w:r w:rsidRPr="008725C6">
        <w:rPr>
          <w:color w:val="000000"/>
          <w:sz w:val="28"/>
          <w:lang w:val="en-US"/>
        </w:rPr>
        <w:t>обслуговуванні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суб’єктів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зовнішньоекономічної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діяльності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Фактори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що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впливають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на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стан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розвитку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міжнароних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рохрахунків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Специфічні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особливості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міжнародних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розрахунків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</w:p>
    <w:p w14:paraId="5DA3E9EB" w14:textId="77777777" w:rsidR="008725C6" w:rsidRDefault="008725C6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5AD65F00" w14:textId="77777777" w:rsidR="00291C63" w:rsidRDefault="00291C63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26B9243E" w14:textId="77777777" w:rsidR="000F5E27" w:rsidRDefault="000F5E27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proofErr w:type="spellStart"/>
      <w:r w:rsidRPr="008725C6">
        <w:rPr>
          <w:b/>
          <w:color w:val="000000"/>
          <w:sz w:val="28"/>
          <w:lang w:val="en-US"/>
        </w:rPr>
        <w:t>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2. </w:t>
      </w:r>
      <w:proofErr w:type="spellStart"/>
      <w:r w:rsidRPr="008725C6">
        <w:rPr>
          <w:b/>
          <w:color w:val="000000"/>
          <w:sz w:val="28"/>
          <w:lang w:val="en-US"/>
        </w:rPr>
        <w:t>Роль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національних</w:t>
      </w:r>
      <w:proofErr w:type="spellEnd"/>
      <w:r w:rsidRPr="008725C6">
        <w:rPr>
          <w:b/>
          <w:color w:val="000000"/>
          <w:sz w:val="28"/>
          <w:lang w:val="en-US"/>
        </w:rPr>
        <w:t xml:space="preserve">, </w:t>
      </w:r>
      <w:proofErr w:type="spellStart"/>
      <w:r w:rsidRPr="008725C6">
        <w:rPr>
          <w:b/>
          <w:color w:val="000000"/>
          <w:sz w:val="28"/>
          <w:lang w:val="en-US"/>
        </w:rPr>
        <w:t>міжнародних</w:t>
      </w:r>
      <w:proofErr w:type="spellEnd"/>
      <w:r w:rsidRPr="008725C6">
        <w:rPr>
          <w:b/>
          <w:color w:val="000000"/>
          <w:sz w:val="28"/>
          <w:lang w:val="en-US"/>
        </w:rPr>
        <w:t xml:space="preserve">, </w:t>
      </w:r>
      <w:proofErr w:type="spellStart"/>
      <w:r w:rsidRPr="008725C6">
        <w:rPr>
          <w:b/>
          <w:color w:val="000000"/>
          <w:sz w:val="28"/>
          <w:lang w:val="en-US"/>
        </w:rPr>
        <w:t>колективних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валют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та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золота</w:t>
      </w:r>
      <w:proofErr w:type="spellEnd"/>
      <w:r w:rsidRPr="008725C6">
        <w:rPr>
          <w:b/>
          <w:color w:val="000000"/>
          <w:sz w:val="28"/>
          <w:lang w:val="en-US"/>
        </w:rPr>
        <w:t xml:space="preserve"> в </w:t>
      </w:r>
      <w:proofErr w:type="spellStart"/>
      <w:r w:rsidRPr="008725C6">
        <w:rPr>
          <w:b/>
          <w:color w:val="000000"/>
          <w:sz w:val="28"/>
          <w:lang w:val="en-US"/>
        </w:rPr>
        <w:t>міжнародних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розрахунках</w:t>
      </w:r>
      <w:proofErr w:type="spellEnd"/>
    </w:p>
    <w:p w14:paraId="6D0759FD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</w:p>
    <w:p w14:paraId="61BBA7C5" w14:textId="4B2F228A" w:rsidR="000F5E27" w:rsidRPr="008725C6" w:rsidRDefault="000F5E27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  <w:r w:rsidRPr="008725C6">
        <w:rPr>
          <w:sz w:val="28"/>
        </w:rPr>
        <w:t xml:space="preserve">Замкнуті, або неконвертовані валюти. Внутрішні валюти. Міжнародна валюта. Фактори, що впливають на набуття валютою статусу міжнародної. Резервні валюти. Ключова валюта. Обслуговування зовнішньоторговельниx операцій. Забезпечення функціонування меxанізму валютниx інтервенцій. </w:t>
      </w:r>
      <w:proofErr w:type="spellStart"/>
      <w:proofErr w:type="gramStart"/>
      <w:r w:rsidRPr="008725C6">
        <w:rPr>
          <w:color w:val="000000"/>
          <w:sz w:val="28"/>
          <w:lang w:val="en-US"/>
        </w:rPr>
        <w:t>Валюта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що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домінує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або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валюта-лідер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Еволюція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позиціи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домінуючих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національних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валют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Основні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особливості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золота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як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резервного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активу</w:t>
      </w:r>
      <w:proofErr w:type="spellEnd"/>
      <w:r w:rsidR="00636193" w:rsidRPr="008725C6">
        <w:rPr>
          <w:color w:val="000000"/>
          <w:sz w:val="28"/>
          <w:lang w:val="en-US"/>
        </w:rPr>
        <w:t>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Диверсифікація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валютних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резервів</w:t>
      </w:r>
      <w:proofErr w:type="spellEnd"/>
      <w:r w:rsidR="00636193" w:rsidRPr="008725C6">
        <w:rPr>
          <w:color w:val="000000"/>
          <w:sz w:val="28"/>
          <w:lang w:val="en-US"/>
        </w:rPr>
        <w:t xml:space="preserve"> (</w:t>
      </w:r>
      <w:proofErr w:type="spellStart"/>
      <w:r w:rsidR="00636193" w:rsidRPr="008725C6">
        <w:rPr>
          <w:color w:val="000000"/>
          <w:sz w:val="28"/>
          <w:lang w:val="en-US"/>
        </w:rPr>
        <w:t>активів</w:t>
      </w:r>
      <w:proofErr w:type="spellEnd"/>
      <w:r w:rsidR="00636193" w:rsidRPr="008725C6">
        <w:rPr>
          <w:color w:val="000000"/>
          <w:sz w:val="28"/>
          <w:lang w:val="en-US"/>
        </w:rPr>
        <w:t>).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Склад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золотовалютниx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резервів</w:t>
      </w:r>
      <w:proofErr w:type="spellEnd"/>
      <w:r w:rsidR="00636193" w:rsidRPr="008725C6">
        <w:rPr>
          <w:color w:val="000000"/>
          <w:sz w:val="28"/>
          <w:lang w:val="en-US"/>
        </w:rPr>
        <w:t xml:space="preserve">, </w:t>
      </w:r>
      <w:proofErr w:type="spellStart"/>
      <w:r w:rsidR="00636193" w:rsidRPr="008725C6">
        <w:rPr>
          <w:color w:val="000000"/>
          <w:sz w:val="28"/>
          <w:lang w:val="en-US"/>
        </w:rPr>
        <w:t>що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створюють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Центральні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банки</w:t>
      </w:r>
      <w:proofErr w:type="spellEnd"/>
      <w:r w:rsidR="00636193" w:rsidRPr="008725C6">
        <w:rPr>
          <w:color w:val="000000"/>
          <w:sz w:val="28"/>
          <w:lang w:val="en-US"/>
        </w:rPr>
        <w:t>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Запаси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вільно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конвертованиx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валют</w:t>
      </w:r>
      <w:proofErr w:type="spellEnd"/>
      <w:r w:rsidR="00636193" w:rsidRPr="008725C6">
        <w:rPr>
          <w:color w:val="000000"/>
          <w:sz w:val="28"/>
          <w:lang w:val="en-US"/>
        </w:rPr>
        <w:t>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Резервна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позиція</w:t>
      </w:r>
      <w:proofErr w:type="spellEnd"/>
      <w:r w:rsidR="00636193" w:rsidRPr="008725C6">
        <w:rPr>
          <w:color w:val="000000"/>
          <w:sz w:val="28"/>
          <w:lang w:val="en-US"/>
        </w:rPr>
        <w:t xml:space="preserve"> в МВФ.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636193" w:rsidRPr="008725C6">
        <w:rPr>
          <w:color w:val="000000"/>
          <w:sz w:val="28"/>
          <w:lang w:val="en-US"/>
        </w:rPr>
        <w:t>Спеціальні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права</w:t>
      </w:r>
      <w:proofErr w:type="spellEnd"/>
      <w:r w:rsidR="00636193" w:rsidRPr="008725C6">
        <w:rPr>
          <w:color w:val="000000"/>
          <w:sz w:val="28"/>
          <w:lang w:val="en-US"/>
        </w:rPr>
        <w:t xml:space="preserve"> </w:t>
      </w:r>
      <w:proofErr w:type="spellStart"/>
      <w:r w:rsidR="00636193" w:rsidRPr="008725C6">
        <w:rPr>
          <w:color w:val="000000"/>
          <w:sz w:val="28"/>
          <w:lang w:val="en-US"/>
        </w:rPr>
        <w:t>запозичення</w:t>
      </w:r>
      <w:proofErr w:type="spellEnd"/>
      <w:r w:rsidR="00636193" w:rsidRPr="008725C6">
        <w:rPr>
          <w:color w:val="000000"/>
          <w:sz w:val="28"/>
          <w:lang w:val="en-US"/>
        </w:rPr>
        <w:t>.</w:t>
      </w:r>
      <w:proofErr w:type="gramEnd"/>
      <w:r w:rsidR="00636193" w:rsidRPr="008725C6">
        <w:rPr>
          <w:color w:val="000000"/>
          <w:sz w:val="28"/>
          <w:lang w:val="en-US"/>
        </w:rPr>
        <w:t xml:space="preserve"> </w:t>
      </w:r>
    </w:p>
    <w:p w14:paraId="7E58130D" w14:textId="77777777" w:rsidR="00C12D96" w:rsidRDefault="00C12D96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</w:p>
    <w:p w14:paraId="4E143AB1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</w:p>
    <w:p w14:paraId="5BB037A1" w14:textId="77777777" w:rsidR="00C12D96" w:rsidRDefault="00C12D96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proofErr w:type="spellStart"/>
      <w:r w:rsidRPr="008725C6">
        <w:rPr>
          <w:b/>
          <w:color w:val="000000"/>
          <w:sz w:val="28"/>
          <w:lang w:val="en-US"/>
        </w:rPr>
        <w:t>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3. </w:t>
      </w:r>
      <w:proofErr w:type="spellStart"/>
      <w:r w:rsidRPr="008725C6">
        <w:rPr>
          <w:b/>
          <w:color w:val="000000"/>
          <w:sz w:val="28"/>
          <w:lang w:val="en-US"/>
        </w:rPr>
        <w:t>Умови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та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способи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здійснення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розрахунків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за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експортно</w:t>
      </w:r>
      <w:proofErr w:type="spellEnd"/>
      <w:r w:rsidRPr="008725C6">
        <w:rPr>
          <w:b/>
          <w:color w:val="000000"/>
          <w:sz w:val="28"/>
          <w:lang w:val="en-US"/>
        </w:rPr>
        <w:t xml:space="preserve">- </w:t>
      </w:r>
      <w:proofErr w:type="spellStart"/>
      <w:r w:rsidRPr="008725C6">
        <w:rPr>
          <w:b/>
          <w:color w:val="000000"/>
          <w:sz w:val="28"/>
          <w:lang w:val="en-US"/>
        </w:rPr>
        <w:t>імпортними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операціями</w:t>
      </w:r>
      <w:proofErr w:type="spellEnd"/>
    </w:p>
    <w:p w14:paraId="791C74D6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</w:p>
    <w:p w14:paraId="13DFD55B" w14:textId="47EB92FE" w:rsidR="00C12D96" w:rsidRPr="008725C6" w:rsidRDefault="00C12D96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  <w:proofErr w:type="spellStart"/>
      <w:proofErr w:type="gramStart"/>
      <w:r w:rsidRPr="008725C6">
        <w:rPr>
          <w:color w:val="000000"/>
          <w:sz w:val="28"/>
          <w:lang w:val="en-US"/>
        </w:rPr>
        <w:t>Умови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оплати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за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міжнародними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торговельними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операціями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Основні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умови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платежу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їх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характерні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риси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переваги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недоліки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Чинники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що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впливають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на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умови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платежу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Валюта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ціни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валюта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платежу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Валюта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ціни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r w:rsidRPr="008725C6">
        <w:rPr>
          <w:color w:val="000000"/>
          <w:sz w:val="28"/>
          <w:lang w:val="en-US"/>
        </w:rPr>
        <w:t>Валюта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платежу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r w:rsidRPr="008725C6">
        <w:rPr>
          <w:color w:val="000000"/>
          <w:sz w:val="28"/>
          <w:lang w:val="en-US"/>
        </w:rPr>
        <w:t>Зміна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терміну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платежу</w:t>
      </w:r>
      <w:proofErr w:type="spellEnd"/>
      <w:r w:rsidRPr="008725C6">
        <w:rPr>
          <w:color w:val="000000"/>
          <w:sz w:val="28"/>
          <w:lang w:val="en-US"/>
        </w:rPr>
        <w:t xml:space="preserve">: «leads and lags». </w:t>
      </w:r>
      <w:proofErr w:type="spellStart"/>
      <w:proofErr w:type="gramStart"/>
      <w:r w:rsidRPr="008725C6">
        <w:rPr>
          <w:color w:val="000000"/>
          <w:sz w:val="28"/>
          <w:lang w:val="en-US"/>
        </w:rPr>
        <w:t>Способи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визначення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ціни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товарів</w:t>
      </w:r>
      <w:proofErr w:type="spellEnd"/>
      <w:r w:rsidRPr="008725C6">
        <w:rPr>
          <w:color w:val="000000"/>
          <w:sz w:val="28"/>
          <w:lang w:val="en-US"/>
        </w:rPr>
        <w:t xml:space="preserve"> у </w:t>
      </w:r>
      <w:proofErr w:type="spellStart"/>
      <w:r w:rsidRPr="008725C6">
        <w:rPr>
          <w:color w:val="000000"/>
          <w:sz w:val="28"/>
          <w:lang w:val="en-US"/>
        </w:rPr>
        <w:t>міжнародних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торгівельних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операціях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Валютні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застереження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</w:p>
    <w:p w14:paraId="3372F769" w14:textId="77777777" w:rsidR="00C12D96" w:rsidRDefault="00C12D96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</w:p>
    <w:p w14:paraId="53BB1C18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/>
        </w:rPr>
      </w:pPr>
    </w:p>
    <w:p w14:paraId="53398A2F" w14:textId="77777777" w:rsidR="00C12D96" w:rsidRDefault="00C12D96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proofErr w:type="spellStart"/>
      <w:r w:rsidRPr="008725C6">
        <w:rPr>
          <w:b/>
          <w:color w:val="000000"/>
          <w:sz w:val="28"/>
          <w:lang w:val="en-US"/>
        </w:rPr>
        <w:t>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4. </w:t>
      </w:r>
      <w:proofErr w:type="spellStart"/>
      <w:proofErr w:type="gramStart"/>
      <w:r w:rsidRPr="008725C6">
        <w:rPr>
          <w:b/>
          <w:color w:val="000000"/>
          <w:sz w:val="28"/>
          <w:lang w:val="en-US"/>
        </w:rPr>
        <w:t>Міжбанківські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кореспондентські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відносини</w:t>
      </w:r>
      <w:proofErr w:type="spellEnd"/>
      <w:r w:rsidRPr="008725C6">
        <w:rPr>
          <w:b/>
          <w:color w:val="000000"/>
          <w:sz w:val="28"/>
          <w:lang w:val="en-US"/>
        </w:rPr>
        <w:t>.</w:t>
      </w:r>
      <w:proofErr w:type="gram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Система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СВІФТ</w:t>
      </w:r>
    </w:p>
    <w:p w14:paraId="4C31A35A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</w:p>
    <w:p w14:paraId="79EFE0C5" w14:textId="6FD34148" w:rsidR="008A1479" w:rsidRPr="008725C6" w:rsidRDefault="008A1479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8725C6">
        <w:rPr>
          <w:color w:val="000000"/>
          <w:sz w:val="28"/>
          <w:lang w:val="en-US"/>
        </w:rPr>
        <w:t>Міжнародна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банківська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діяльність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Міжнародні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кореспондентські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відносини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Процес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створення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кореспондентських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відносин</w:t>
      </w:r>
      <w:proofErr w:type="spellEnd"/>
      <w:r w:rsidRPr="008725C6">
        <w:rPr>
          <w:color w:val="000000"/>
          <w:sz w:val="28"/>
          <w:lang w:val="en-US"/>
        </w:rPr>
        <w:t xml:space="preserve">, </w:t>
      </w:r>
      <w:proofErr w:type="spellStart"/>
      <w:r w:rsidRPr="008725C6">
        <w:rPr>
          <w:color w:val="000000"/>
          <w:sz w:val="28"/>
          <w:lang w:val="en-US"/>
        </w:rPr>
        <w:t>його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етапи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Вибір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банка-партнера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8725C6">
        <w:rPr>
          <w:color w:val="000000"/>
          <w:sz w:val="28"/>
          <w:lang w:val="en-US"/>
        </w:rPr>
        <w:t>Встановлення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зв’язку</w:t>
      </w:r>
      <w:proofErr w:type="spellEnd"/>
      <w:r w:rsidRPr="008725C6">
        <w:rPr>
          <w:color w:val="000000"/>
          <w:sz w:val="28"/>
          <w:lang w:val="en-US"/>
        </w:rPr>
        <w:t xml:space="preserve"> з </w:t>
      </w:r>
      <w:proofErr w:type="spellStart"/>
      <w:r w:rsidRPr="008725C6">
        <w:rPr>
          <w:color w:val="000000"/>
          <w:sz w:val="28"/>
          <w:lang w:val="en-US"/>
        </w:rPr>
        <w:t>обраним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банком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Укладення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кореспондентськоі</w:t>
      </w:r>
      <w:proofErr w:type="spellEnd"/>
      <w:r w:rsidRPr="008725C6">
        <w:rPr>
          <w:color w:val="000000"/>
          <w:sz w:val="28"/>
          <w:lang w:val="en-US"/>
        </w:rPr>
        <w:t xml:space="preserve">̈ </w:t>
      </w:r>
      <w:proofErr w:type="spellStart"/>
      <w:r w:rsidRPr="008725C6">
        <w:rPr>
          <w:color w:val="000000"/>
          <w:sz w:val="28"/>
          <w:lang w:val="en-US"/>
        </w:rPr>
        <w:t>угоди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Міжнароднии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кореспондентськии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договір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Відкриття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кореспондентського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рахунку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Обмін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контрольними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документами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Домовленість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про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контрольні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ключі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Критерії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вибору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банку-кореспондента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lastRenderedPageBreak/>
        <w:t>Рахунок</w:t>
      </w:r>
      <w:proofErr w:type="spellEnd"/>
      <w:r w:rsidRPr="008725C6">
        <w:rPr>
          <w:color w:val="000000"/>
          <w:sz w:val="28"/>
          <w:lang w:val="en-US"/>
        </w:rPr>
        <w:t xml:space="preserve"> «</w:t>
      </w:r>
      <w:proofErr w:type="spellStart"/>
      <w:r w:rsidRPr="008725C6">
        <w:rPr>
          <w:color w:val="000000"/>
          <w:sz w:val="28"/>
          <w:lang w:val="en-US"/>
        </w:rPr>
        <w:t>ностро</w:t>
      </w:r>
      <w:proofErr w:type="spellEnd"/>
      <w:r w:rsidRPr="008725C6">
        <w:rPr>
          <w:color w:val="000000"/>
          <w:sz w:val="28"/>
          <w:lang w:val="en-US"/>
        </w:rPr>
        <w:t>».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Рахунок</w:t>
      </w:r>
      <w:proofErr w:type="spellEnd"/>
      <w:r w:rsidRPr="008725C6">
        <w:rPr>
          <w:color w:val="000000"/>
          <w:sz w:val="28"/>
          <w:lang w:val="en-US"/>
        </w:rPr>
        <w:t xml:space="preserve"> «</w:t>
      </w:r>
      <w:proofErr w:type="spellStart"/>
      <w:r w:rsidRPr="008725C6">
        <w:rPr>
          <w:color w:val="000000"/>
          <w:sz w:val="28"/>
          <w:lang w:val="en-US"/>
        </w:rPr>
        <w:t>лоро</w:t>
      </w:r>
      <w:proofErr w:type="spellEnd"/>
      <w:r w:rsidRPr="008725C6">
        <w:rPr>
          <w:color w:val="000000"/>
          <w:sz w:val="28"/>
          <w:lang w:val="en-US"/>
        </w:rPr>
        <w:t>».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gramStart"/>
      <w:r w:rsidRPr="008725C6">
        <w:rPr>
          <w:color w:val="000000"/>
          <w:sz w:val="28"/>
          <w:lang w:val="en-US"/>
        </w:rPr>
        <w:t>А-</w:t>
      </w:r>
      <w:proofErr w:type="spellStart"/>
      <w:r w:rsidRPr="008725C6">
        <w:rPr>
          <w:color w:val="000000"/>
          <w:sz w:val="28"/>
          <w:lang w:val="en-US"/>
        </w:rPr>
        <w:t>кореспондентські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відносини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банками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Кореспондентськии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рахунок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gramStart"/>
      <w:r w:rsidRPr="008725C6">
        <w:rPr>
          <w:color w:val="000000"/>
          <w:sz w:val="28"/>
          <w:lang w:val="en-US"/>
        </w:rPr>
        <w:t>Б-</w:t>
      </w:r>
      <w:proofErr w:type="spellStart"/>
      <w:r w:rsidRPr="008725C6">
        <w:rPr>
          <w:color w:val="000000"/>
          <w:sz w:val="28"/>
          <w:lang w:val="en-US"/>
        </w:rPr>
        <w:t>кореспонденти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без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відкриття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взаємних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рахунків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Овердрафт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СВІФТ/ “SWIFT”.</w:t>
      </w:r>
      <w:proofErr w:type="gramEnd"/>
      <w:r w:rsidRPr="008725C6">
        <w:rPr>
          <w:color w:val="000000"/>
          <w:sz w:val="28"/>
          <w:lang w:val="en-US"/>
        </w:rPr>
        <w:t xml:space="preserve"> E-invoicing. </w:t>
      </w:r>
      <w:proofErr w:type="spellStart"/>
      <w:proofErr w:type="gramStart"/>
      <w:r w:rsidR="00797920" w:rsidRPr="008725C6">
        <w:rPr>
          <w:color w:val="000000"/>
          <w:sz w:val="28"/>
          <w:lang w:val="en-US"/>
        </w:rPr>
        <w:t>Відправки</w:t>
      </w:r>
      <w:proofErr w:type="spellEnd"/>
      <w:r w:rsidR="00797920" w:rsidRPr="008725C6">
        <w:rPr>
          <w:color w:val="000000"/>
          <w:sz w:val="28"/>
          <w:lang w:val="en-US"/>
        </w:rPr>
        <w:t xml:space="preserve"> </w:t>
      </w:r>
      <w:proofErr w:type="spellStart"/>
      <w:r w:rsidR="00797920" w:rsidRPr="008725C6">
        <w:rPr>
          <w:color w:val="000000"/>
          <w:sz w:val="28"/>
          <w:lang w:val="en-US"/>
        </w:rPr>
        <w:t>міжнародного</w:t>
      </w:r>
      <w:proofErr w:type="spellEnd"/>
      <w:r w:rsidR="00797920" w:rsidRPr="008725C6">
        <w:rPr>
          <w:color w:val="000000"/>
          <w:sz w:val="28"/>
          <w:lang w:val="en-US"/>
        </w:rPr>
        <w:t xml:space="preserve"> SWIFT-</w:t>
      </w:r>
      <w:proofErr w:type="spellStart"/>
      <w:r w:rsidR="00797920" w:rsidRPr="008725C6">
        <w:rPr>
          <w:color w:val="000000"/>
          <w:sz w:val="28"/>
          <w:lang w:val="en-US"/>
        </w:rPr>
        <w:t>платежу</w:t>
      </w:r>
      <w:proofErr w:type="spellEnd"/>
      <w:r w:rsidR="00797920" w:rsidRPr="008725C6">
        <w:rPr>
          <w:color w:val="000000"/>
          <w:sz w:val="28"/>
          <w:lang w:val="en-US"/>
        </w:rPr>
        <w:t xml:space="preserve"> в </w:t>
      </w:r>
      <w:proofErr w:type="spellStart"/>
      <w:r w:rsidR="00797920" w:rsidRPr="008725C6">
        <w:rPr>
          <w:color w:val="000000"/>
          <w:sz w:val="28"/>
          <w:lang w:val="en-US"/>
        </w:rPr>
        <w:t>іноземніи</w:t>
      </w:r>
      <w:proofErr w:type="spellEnd"/>
      <w:r w:rsidR="00797920" w:rsidRPr="008725C6">
        <w:rPr>
          <w:color w:val="000000"/>
          <w:sz w:val="28"/>
          <w:lang w:val="en-US"/>
        </w:rPr>
        <w:t xml:space="preserve">̆ </w:t>
      </w:r>
      <w:proofErr w:type="spellStart"/>
      <w:r w:rsidR="00797920" w:rsidRPr="008725C6">
        <w:rPr>
          <w:color w:val="000000"/>
          <w:sz w:val="28"/>
          <w:lang w:val="en-US"/>
        </w:rPr>
        <w:t>валюті</w:t>
      </w:r>
      <w:proofErr w:type="spellEnd"/>
      <w:r w:rsidR="00797920" w:rsidRPr="008725C6">
        <w:rPr>
          <w:color w:val="000000"/>
          <w:sz w:val="28"/>
          <w:lang w:val="en-US"/>
        </w:rPr>
        <w:t>.</w:t>
      </w:r>
      <w:proofErr w:type="gramEnd"/>
    </w:p>
    <w:p w14:paraId="167C65A3" w14:textId="77777777" w:rsidR="00797920" w:rsidRDefault="00797920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27549D59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0487221A" w14:textId="77777777" w:rsidR="008725C6" w:rsidRDefault="008725C6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proofErr w:type="spellStart"/>
      <w:r w:rsidRPr="008725C6">
        <w:rPr>
          <w:b/>
          <w:color w:val="000000"/>
          <w:sz w:val="28"/>
          <w:lang w:val="en-US"/>
        </w:rPr>
        <w:t>Тема</w:t>
      </w:r>
      <w:proofErr w:type="spellEnd"/>
      <w:r w:rsidRPr="008725C6">
        <w:rPr>
          <w:b/>
          <w:color w:val="000000"/>
          <w:sz w:val="28"/>
          <w:lang w:val="en-US"/>
        </w:rPr>
        <w:t xml:space="preserve"> 5. </w:t>
      </w:r>
      <w:proofErr w:type="spellStart"/>
      <w:proofErr w:type="gramStart"/>
      <w:r w:rsidRPr="008725C6">
        <w:rPr>
          <w:b/>
          <w:color w:val="000000"/>
          <w:sz w:val="28"/>
          <w:lang w:val="en-US"/>
        </w:rPr>
        <w:t>Сучасні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платіжні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системи</w:t>
      </w:r>
      <w:proofErr w:type="spellEnd"/>
      <w:r w:rsidRPr="008725C6">
        <w:rPr>
          <w:b/>
          <w:color w:val="000000"/>
          <w:sz w:val="28"/>
          <w:lang w:val="en-US"/>
        </w:rPr>
        <w:t xml:space="preserve"> і </w:t>
      </w:r>
      <w:proofErr w:type="spellStart"/>
      <w:r w:rsidRPr="008725C6">
        <w:rPr>
          <w:b/>
          <w:color w:val="000000"/>
          <w:sz w:val="28"/>
          <w:lang w:val="en-US"/>
        </w:rPr>
        <w:t>засоби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зв’язку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суб’єктів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зовнішньоекономічноі</w:t>
      </w:r>
      <w:proofErr w:type="spellEnd"/>
      <w:r w:rsidRPr="008725C6">
        <w:rPr>
          <w:b/>
          <w:color w:val="000000"/>
          <w:sz w:val="28"/>
          <w:lang w:val="en-US"/>
        </w:rPr>
        <w:t xml:space="preserve">̈ </w:t>
      </w:r>
      <w:proofErr w:type="spellStart"/>
      <w:r w:rsidRPr="008725C6">
        <w:rPr>
          <w:b/>
          <w:color w:val="000000"/>
          <w:sz w:val="28"/>
          <w:lang w:val="en-US"/>
        </w:rPr>
        <w:t>діяльності</w:t>
      </w:r>
      <w:proofErr w:type="spellEnd"/>
      <w:r w:rsidRPr="008725C6">
        <w:rPr>
          <w:b/>
          <w:color w:val="000000"/>
          <w:sz w:val="28"/>
          <w:lang w:val="en-US"/>
        </w:rPr>
        <w:t>.</w:t>
      </w:r>
      <w:proofErr w:type="gram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Системи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міжбанківських</w:t>
      </w:r>
      <w:proofErr w:type="spellEnd"/>
      <w:r w:rsidRPr="008725C6">
        <w:rPr>
          <w:b/>
          <w:color w:val="000000"/>
          <w:sz w:val="28"/>
          <w:lang w:val="en-US"/>
        </w:rPr>
        <w:t xml:space="preserve"> </w:t>
      </w:r>
      <w:proofErr w:type="spellStart"/>
      <w:r w:rsidRPr="008725C6">
        <w:rPr>
          <w:b/>
          <w:color w:val="000000"/>
          <w:sz w:val="28"/>
          <w:lang w:val="en-US"/>
        </w:rPr>
        <w:t>комунікаціи</w:t>
      </w:r>
      <w:proofErr w:type="spellEnd"/>
      <w:r w:rsidRPr="008725C6">
        <w:rPr>
          <w:b/>
          <w:color w:val="000000"/>
          <w:sz w:val="28"/>
          <w:lang w:val="en-US"/>
        </w:rPr>
        <w:t>̆</w:t>
      </w:r>
    </w:p>
    <w:p w14:paraId="74251727" w14:textId="77777777" w:rsidR="00291C63" w:rsidRPr="008725C6" w:rsidRDefault="00291C63" w:rsidP="008725C6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lang w:val="en-US"/>
        </w:rPr>
      </w:pPr>
      <w:bookmarkStart w:id="0" w:name="_GoBack"/>
      <w:bookmarkEnd w:id="0"/>
    </w:p>
    <w:p w14:paraId="3D53E912" w14:textId="4F05E7CD" w:rsidR="00797920" w:rsidRPr="008725C6" w:rsidRDefault="008725C6" w:rsidP="008725C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8725C6">
        <w:rPr>
          <w:color w:val="000000"/>
          <w:sz w:val="28"/>
          <w:lang w:val="en-US"/>
        </w:rPr>
        <w:t>Нетто-розрахунок</w:t>
      </w:r>
      <w:proofErr w:type="spellEnd"/>
      <w:r w:rsidRPr="008725C6">
        <w:rPr>
          <w:color w:val="000000"/>
          <w:sz w:val="28"/>
          <w:lang w:val="en-US"/>
        </w:rPr>
        <w:t xml:space="preserve"> (net settlement).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нетто-розрахунків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r w:rsidRPr="008725C6">
        <w:rPr>
          <w:color w:val="000000"/>
          <w:sz w:val="28"/>
          <w:lang w:val="en-US"/>
        </w:rPr>
        <w:t>Системи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брутто-розрахунків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8725C6">
        <w:rPr>
          <w:color w:val="000000"/>
          <w:sz w:val="28"/>
          <w:lang w:val="en-US"/>
        </w:rPr>
        <w:t>Змішані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системи</w:t>
      </w:r>
      <w:proofErr w:type="spellEnd"/>
      <w:r w:rsidRPr="008725C6">
        <w:rPr>
          <w:color w:val="000000"/>
          <w:sz w:val="28"/>
          <w:lang w:val="en-US"/>
        </w:rPr>
        <w:t xml:space="preserve"> (hybrid systems).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Особливостеи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платіжноі</w:t>
      </w:r>
      <w:proofErr w:type="spellEnd"/>
      <w:r w:rsidRPr="008725C6">
        <w:rPr>
          <w:color w:val="000000"/>
          <w:sz w:val="28"/>
          <w:lang w:val="en-US"/>
        </w:rPr>
        <w:t xml:space="preserve">̈ </w:t>
      </w:r>
      <w:proofErr w:type="spellStart"/>
      <w:r w:rsidRPr="008725C6">
        <w:rPr>
          <w:color w:val="000000"/>
          <w:sz w:val="28"/>
          <w:lang w:val="en-US"/>
        </w:rPr>
        <w:t>системи</w:t>
      </w:r>
      <w:proofErr w:type="spellEnd"/>
      <w:r w:rsidRPr="008725C6">
        <w:rPr>
          <w:color w:val="000000"/>
          <w:sz w:val="28"/>
          <w:lang w:val="en-US"/>
        </w:rPr>
        <w:t xml:space="preserve"> ЄБА.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TARGET (Trans-European Automated Real-time Gross settlement Express Transfer). </w:t>
      </w:r>
      <w:proofErr w:type="spellStart"/>
      <w:r w:rsidRPr="008725C6">
        <w:rPr>
          <w:color w:val="000000"/>
          <w:sz w:val="28"/>
          <w:lang w:val="en-US"/>
        </w:rPr>
        <w:t>Фундаментальнии</w:t>
      </w:r>
      <w:proofErr w:type="spellEnd"/>
      <w:r w:rsidRPr="008725C6">
        <w:rPr>
          <w:color w:val="000000"/>
          <w:sz w:val="28"/>
          <w:lang w:val="en-US"/>
        </w:rPr>
        <w:t xml:space="preserve">̆ </w:t>
      </w:r>
      <w:proofErr w:type="spellStart"/>
      <w:r w:rsidRPr="008725C6">
        <w:rPr>
          <w:color w:val="000000"/>
          <w:sz w:val="28"/>
          <w:lang w:val="en-US"/>
        </w:rPr>
        <w:t>принцип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системи</w:t>
      </w:r>
      <w:proofErr w:type="spellEnd"/>
      <w:r w:rsidRPr="008725C6">
        <w:rPr>
          <w:color w:val="000000"/>
          <w:sz w:val="28"/>
          <w:lang w:val="en-US"/>
        </w:rPr>
        <w:t xml:space="preserve"> TARGET.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FedWire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8725C6">
        <w:rPr>
          <w:color w:val="000000"/>
          <w:sz w:val="28"/>
          <w:lang w:val="en-US"/>
        </w:rPr>
        <w:t>Приватна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Bankwire</w:t>
      </w:r>
      <w:proofErr w:type="spellEnd"/>
      <w:r w:rsidRPr="008725C6">
        <w:rPr>
          <w:color w:val="000000"/>
          <w:sz w:val="28"/>
          <w:lang w:val="en-US"/>
        </w:rPr>
        <w:t>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ЧІПС (CHIPS – Clearing House Interbank Payment System –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міжбанківського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клірингу</w:t>
      </w:r>
      <w:proofErr w:type="spellEnd"/>
      <w:r w:rsidRPr="008725C6">
        <w:rPr>
          <w:color w:val="000000"/>
          <w:sz w:val="28"/>
          <w:lang w:val="en-US"/>
        </w:rPr>
        <w:t>).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Швейцарська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міжбанківська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клірингова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SIC (Swiss Interbank Clearing). </w:t>
      </w:r>
      <w:proofErr w:type="spellStart"/>
      <w:r w:rsidRPr="008725C6">
        <w:rPr>
          <w:color w:val="000000"/>
          <w:sz w:val="28"/>
          <w:lang w:val="en-US"/>
        </w:rPr>
        <w:t>Жиросистема</w:t>
      </w:r>
      <w:proofErr w:type="spellEnd"/>
      <w:r w:rsidRPr="008725C6">
        <w:rPr>
          <w:color w:val="000000"/>
          <w:sz w:val="28"/>
          <w:lang w:val="en-US"/>
        </w:rPr>
        <w:t xml:space="preserve">. </w:t>
      </w:r>
      <w:proofErr w:type="spellStart"/>
      <w:r w:rsidRPr="008725C6">
        <w:rPr>
          <w:color w:val="000000"/>
          <w:sz w:val="28"/>
          <w:lang w:val="en-US"/>
        </w:rPr>
        <w:t>Міні</w:t>
      </w:r>
      <w:proofErr w:type="spellEnd"/>
      <w:r w:rsidRPr="008725C6">
        <w:rPr>
          <w:color w:val="000000"/>
          <w:sz w:val="28"/>
          <w:lang w:val="en-US"/>
        </w:rPr>
        <w:t xml:space="preserve">-SIC.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фінансовоі</w:t>
      </w:r>
      <w:proofErr w:type="spellEnd"/>
      <w:r w:rsidRPr="008725C6">
        <w:rPr>
          <w:color w:val="000000"/>
          <w:sz w:val="28"/>
          <w:lang w:val="en-US"/>
        </w:rPr>
        <w:t xml:space="preserve">̈ </w:t>
      </w:r>
      <w:proofErr w:type="spellStart"/>
      <w:r w:rsidRPr="008725C6">
        <w:rPr>
          <w:color w:val="000000"/>
          <w:sz w:val="28"/>
          <w:lang w:val="en-US"/>
        </w:rPr>
        <w:t>мережі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банку</w:t>
      </w:r>
      <w:proofErr w:type="spellEnd"/>
      <w:r w:rsidRPr="008725C6">
        <w:rPr>
          <w:color w:val="000000"/>
          <w:sz w:val="28"/>
          <w:lang w:val="en-US"/>
        </w:rPr>
        <w:t xml:space="preserve"> </w:t>
      </w:r>
      <w:proofErr w:type="spellStart"/>
      <w:r w:rsidRPr="008725C6">
        <w:rPr>
          <w:color w:val="000000"/>
          <w:sz w:val="28"/>
          <w:lang w:val="en-US"/>
        </w:rPr>
        <w:t>Японіі</w:t>
      </w:r>
      <w:proofErr w:type="spellEnd"/>
      <w:r w:rsidRPr="008725C6">
        <w:rPr>
          <w:color w:val="000000"/>
          <w:sz w:val="28"/>
          <w:lang w:val="en-US"/>
        </w:rPr>
        <w:t xml:space="preserve">̈ (Bank of Japan  Financial Network System (BOJ-NET).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BOJ- NET. </w:t>
      </w:r>
      <w:proofErr w:type="spellStart"/>
      <w:r w:rsidRPr="008725C6">
        <w:rPr>
          <w:color w:val="000000"/>
          <w:sz w:val="28"/>
          <w:lang w:val="en-US"/>
        </w:rPr>
        <w:t>Система</w:t>
      </w:r>
      <w:proofErr w:type="spellEnd"/>
      <w:r w:rsidRPr="008725C6">
        <w:rPr>
          <w:color w:val="000000"/>
          <w:sz w:val="28"/>
          <w:lang w:val="en-US"/>
        </w:rPr>
        <w:t xml:space="preserve"> CHAPS (Clearing House Automated Payment System). </w:t>
      </w:r>
      <w:proofErr w:type="gramStart"/>
      <w:r w:rsidRPr="008725C6">
        <w:rPr>
          <w:color w:val="000000"/>
          <w:sz w:val="28"/>
          <w:lang w:val="en-US"/>
        </w:rPr>
        <w:t>BACS (Banker’s Automated Clearing Services).</w:t>
      </w:r>
      <w:proofErr w:type="gramEnd"/>
      <w:r w:rsidRPr="008725C6">
        <w:rPr>
          <w:color w:val="000000"/>
          <w:sz w:val="28"/>
          <w:lang w:val="en-US"/>
        </w:rPr>
        <w:t xml:space="preserve"> </w:t>
      </w:r>
    </w:p>
    <w:p w14:paraId="4F33F2C5" w14:textId="77777777" w:rsidR="008725C6" w:rsidRPr="00897228" w:rsidRDefault="008725C6" w:rsidP="008A1479">
      <w:pPr>
        <w:widowControl w:val="0"/>
        <w:autoSpaceDE w:val="0"/>
        <w:autoSpaceDN w:val="0"/>
        <w:adjustRightInd w:val="0"/>
        <w:spacing w:after="240"/>
        <w:rPr>
          <w:b/>
          <w:color w:val="000000"/>
          <w:lang w:val="en-US"/>
        </w:rPr>
      </w:pPr>
    </w:p>
    <w:p w14:paraId="3DED24EC" w14:textId="62570514" w:rsidR="008A1479" w:rsidRPr="00427510" w:rsidRDefault="008A1479" w:rsidP="008A1479">
      <w:pPr>
        <w:widowControl w:val="0"/>
        <w:autoSpaceDE w:val="0"/>
        <w:autoSpaceDN w:val="0"/>
        <w:adjustRightInd w:val="0"/>
        <w:spacing w:after="240"/>
        <w:rPr>
          <w:b/>
          <w:color w:val="000000"/>
          <w:lang w:val="en-US"/>
        </w:rPr>
      </w:pPr>
    </w:p>
    <w:p w14:paraId="5C8A4884" w14:textId="0125B8B0" w:rsidR="00C12D96" w:rsidRDefault="00C12D96" w:rsidP="000F5E27">
      <w:pPr>
        <w:widowControl w:val="0"/>
        <w:autoSpaceDE w:val="0"/>
        <w:autoSpaceDN w:val="0"/>
        <w:adjustRightInd w:val="0"/>
        <w:spacing w:after="240"/>
        <w:ind w:right="0"/>
      </w:pPr>
    </w:p>
    <w:p w14:paraId="27B030F2" w14:textId="3BF00629" w:rsidR="000F5E27" w:rsidRDefault="000F5E27">
      <w:pPr>
        <w:rPr>
          <w:color w:val="000000"/>
          <w:sz w:val="28"/>
          <w:lang w:val="en-US"/>
        </w:rPr>
      </w:pPr>
    </w:p>
    <w:p w14:paraId="6C19D5E1" w14:textId="29FF138C" w:rsidR="00435742" w:rsidRPr="000F5E27" w:rsidRDefault="000F5E27">
      <w:pPr>
        <w:rPr>
          <w:sz w:val="28"/>
        </w:rPr>
      </w:pPr>
      <w:r>
        <w:rPr>
          <w:color w:val="000000"/>
          <w:sz w:val="28"/>
          <w:lang w:val="en-US"/>
        </w:rPr>
        <w:t xml:space="preserve">  </w:t>
      </w:r>
    </w:p>
    <w:sectPr w:rsidR="00435742" w:rsidRPr="000F5E27" w:rsidSect="004B2B5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B8DF" w14:textId="77777777" w:rsidR="008A1479" w:rsidRDefault="008A1479">
      <w:r>
        <w:separator/>
      </w:r>
    </w:p>
  </w:endnote>
  <w:endnote w:type="continuationSeparator" w:id="0">
    <w:p w14:paraId="71C08373" w14:textId="77777777" w:rsidR="008A1479" w:rsidRDefault="008A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4027" w14:textId="77777777" w:rsidR="008A1479" w:rsidRDefault="008A1479">
      <w:r>
        <w:separator/>
      </w:r>
    </w:p>
  </w:footnote>
  <w:footnote w:type="continuationSeparator" w:id="0">
    <w:p w14:paraId="76595206" w14:textId="77777777" w:rsidR="008A1479" w:rsidRDefault="008A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1069E"/>
    <w:multiLevelType w:val="hybridMultilevel"/>
    <w:tmpl w:val="27987B24"/>
    <w:lvl w:ilvl="0" w:tplc="4FE684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DB"/>
    <w:rsid w:val="0008239B"/>
    <w:rsid w:val="000F349F"/>
    <w:rsid w:val="000F5E27"/>
    <w:rsid w:val="00195169"/>
    <w:rsid w:val="001C1C0C"/>
    <w:rsid w:val="001D70FF"/>
    <w:rsid w:val="00222251"/>
    <w:rsid w:val="002649DC"/>
    <w:rsid w:val="00291C63"/>
    <w:rsid w:val="002F0EDB"/>
    <w:rsid w:val="002F78D1"/>
    <w:rsid w:val="00325926"/>
    <w:rsid w:val="00331152"/>
    <w:rsid w:val="00386438"/>
    <w:rsid w:val="003A5844"/>
    <w:rsid w:val="00417BA6"/>
    <w:rsid w:val="004229D4"/>
    <w:rsid w:val="00426EE1"/>
    <w:rsid w:val="00435742"/>
    <w:rsid w:val="004855FB"/>
    <w:rsid w:val="00490955"/>
    <w:rsid w:val="0049279C"/>
    <w:rsid w:val="004B2B54"/>
    <w:rsid w:val="004C5C54"/>
    <w:rsid w:val="00513F14"/>
    <w:rsid w:val="0053666F"/>
    <w:rsid w:val="005A1305"/>
    <w:rsid w:val="005B5FA6"/>
    <w:rsid w:val="005F4D76"/>
    <w:rsid w:val="00623141"/>
    <w:rsid w:val="00633AC0"/>
    <w:rsid w:val="00636193"/>
    <w:rsid w:val="00661177"/>
    <w:rsid w:val="00664DFA"/>
    <w:rsid w:val="00702DEC"/>
    <w:rsid w:val="007707EC"/>
    <w:rsid w:val="00797920"/>
    <w:rsid w:val="008725C6"/>
    <w:rsid w:val="0089151A"/>
    <w:rsid w:val="008A1479"/>
    <w:rsid w:val="008F2F6E"/>
    <w:rsid w:val="008F3C3F"/>
    <w:rsid w:val="0093541E"/>
    <w:rsid w:val="0093628F"/>
    <w:rsid w:val="0094084A"/>
    <w:rsid w:val="009B59E5"/>
    <w:rsid w:val="00A1756D"/>
    <w:rsid w:val="00AA6A41"/>
    <w:rsid w:val="00AC2ECE"/>
    <w:rsid w:val="00AE28F7"/>
    <w:rsid w:val="00B101CE"/>
    <w:rsid w:val="00B47DDB"/>
    <w:rsid w:val="00B71C95"/>
    <w:rsid w:val="00B95AA1"/>
    <w:rsid w:val="00C10E0B"/>
    <w:rsid w:val="00C12D96"/>
    <w:rsid w:val="00C77141"/>
    <w:rsid w:val="00CF5016"/>
    <w:rsid w:val="00DB0D0F"/>
    <w:rsid w:val="00DD5AF3"/>
    <w:rsid w:val="00E55C88"/>
    <w:rsid w:val="00E90BE3"/>
    <w:rsid w:val="00EE0BD8"/>
    <w:rsid w:val="00EE3CFA"/>
    <w:rsid w:val="00F1637B"/>
    <w:rsid w:val="00F35395"/>
    <w:rsid w:val="00F82AFE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82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34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34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4406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Vitaliy Erfan</cp:lastModifiedBy>
  <cp:revision>8</cp:revision>
  <dcterms:created xsi:type="dcterms:W3CDTF">2022-04-18T19:33:00Z</dcterms:created>
  <dcterms:modified xsi:type="dcterms:W3CDTF">2022-04-19T06:40:00Z</dcterms:modified>
</cp:coreProperties>
</file>