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2D95" w14:textId="77777777" w:rsidR="00DD5AF3" w:rsidRPr="00AE28F7" w:rsidRDefault="00DD5AF3" w:rsidP="00DD5AF3">
      <w:pPr>
        <w:pStyle w:val="1"/>
        <w:spacing w:before="53"/>
      </w:pPr>
      <w:r w:rsidRPr="00AE28F7">
        <w:t>Інформація про вибіркову дисципліну циклу загальної підготовки</w:t>
      </w:r>
    </w:p>
    <w:p w14:paraId="52DE852B" w14:textId="77777777" w:rsidR="00426EE1" w:rsidRPr="00AE28F7" w:rsidRDefault="00DD5AF3" w:rsidP="00426EE1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  <w:r w:rsidRPr="00AE28F7">
        <w:rPr>
          <w:sz w:val="28"/>
          <w:szCs w:val="28"/>
          <w:lang w:val="ru-RU"/>
        </w:rPr>
        <w:t>для «Каталогу вибіркових курсів університету»</w:t>
      </w:r>
      <w:r w:rsidR="00426EE1" w:rsidRPr="00AE28F7">
        <w:rPr>
          <w:sz w:val="28"/>
          <w:szCs w:val="28"/>
          <w:lang w:val="ru-RU"/>
        </w:rPr>
        <w:t xml:space="preserve"> </w:t>
      </w:r>
      <w:r w:rsidR="00426EE1" w:rsidRPr="00AE28F7">
        <w:rPr>
          <w:sz w:val="28"/>
          <w:szCs w:val="28"/>
          <w:lang w:val="uk-UA"/>
        </w:rPr>
        <w:t>на 2022/2023 н.р.</w:t>
      </w:r>
    </w:p>
    <w:p w14:paraId="3DA7ACDF" w14:textId="77777777" w:rsidR="00DD5AF3" w:rsidRPr="00AE28F7" w:rsidRDefault="00DD5AF3" w:rsidP="00DD5AF3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</w:p>
    <w:p w14:paraId="649FB037" w14:textId="77777777" w:rsidR="00DD5AF3" w:rsidRPr="00AE28F7" w:rsidRDefault="00DD5AF3" w:rsidP="00DD5AF3">
      <w:pPr>
        <w:pStyle w:val="a3"/>
        <w:spacing w:before="3" w:after="1"/>
        <w:rPr>
          <w:sz w:val="28"/>
          <w:szCs w:val="28"/>
          <w:lang w:val="ru-RU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DD5AF3" w:rsidRPr="00AE28F7" w14:paraId="6B76C2D7" w14:textId="77777777" w:rsidTr="0094084A">
        <w:trPr>
          <w:trHeight w:val="369"/>
        </w:trPr>
        <w:tc>
          <w:tcPr>
            <w:tcW w:w="4117" w:type="dxa"/>
          </w:tcPr>
          <w:p w14:paraId="5D381993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14:paraId="4C3A164F" w14:textId="6F800AA1" w:rsidR="00DD5AF3" w:rsidRPr="00AE28F7" w:rsidRDefault="00BD18DA" w:rsidP="00AE28F7">
            <w:pPr>
              <w:pStyle w:val="TableParagraph"/>
              <w:ind w:left="1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Менеджмент міжнародних проектів</w:t>
            </w:r>
          </w:p>
        </w:tc>
      </w:tr>
      <w:tr w:rsidR="00DD5AF3" w:rsidRPr="00AE28F7" w14:paraId="79643B1D" w14:textId="77777777" w:rsidTr="0094084A">
        <w:trPr>
          <w:trHeight w:val="371"/>
        </w:trPr>
        <w:tc>
          <w:tcPr>
            <w:tcW w:w="4117" w:type="dxa"/>
          </w:tcPr>
          <w:p w14:paraId="461DB2C2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7C5F91AB" w14:textId="77777777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AE28F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DD5AF3" w:rsidRPr="00AE28F7" w14:paraId="0F8754D3" w14:textId="77777777" w:rsidTr="0094084A">
        <w:trPr>
          <w:trHeight w:val="369"/>
        </w:trPr>
        <w:tc>
          <w:tcPr>
            <w:tcW w:w="4117" w:type="dxa"/>
          </w:tcPr>
          <w:p w14:paraId="153CBA41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55C206AF" w14:textId="74DDF7B4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  <w:r w:rsidR="005F4D76">
              <w:rPr>
                <w:sz w:val="28"/>
                <w:szCs w:val="28"/>
                <w:lang w:val="en-US"/>
              </w:rPr>
              <w:t>3, 4, 5</w:t>
            </w:r>
          </w:p>
        </w:tc>
      </w:tr>
      <w:tr w:rsidR="00DD5AF3" w:rsidRPr="00AE28F7" w14:paraId="077F7731" w14:textId="77777777" w:rsidTr="0094084A">
        <w:trPr>
          <w:trHeight w:val="371"/>
        </w:trPr>
        <w:tc>
          <w:tcPr>
            <w:tcW w:w="4117" w:type="dxa"/>
          </w:tcPr>
          <w:p w14:paraId="55CDCFAF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53A54CC8" w14:textId="57FDC3F4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  <w:r w:rsidR="005F4D76">
              <w:rPr>
                <w:sz w:val="28"/>
                <w:szCs w:val="28"/>
                <w:lang w:val="en-US"/>
              </w:rPr>
              <w:t>5, 6, 7, 8, 9, 10</w:t>
            </w:r>
          </w:p>
        </w:tc>
      </w:tr>
      <w:tr w:rsidR="00DD5AF3" w:rsidRPr="00AE28F7" w14:paraId="0F3EF39B" w14:textId="77777777" w:rsidTr="0094084A">
        <w:trPr>
          <w:trHeight w:val="369"/>
        </w:trPr>
        <w:tc>
          <w:tcPr>
            <w:tcW w:w="4117" w:type="dxa"/>
          </w:tcPr>
          <w:p w14:paraId="400C40CF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14:paraId="311F0CE8" w14:textId="77777777" w:rsidR="00DD5AF3" w:rsidRPr="00AE28F7" w:rsidRDefault="00633AC0" w:rsidP="0094084A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AE28F7"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DD5AF3" w:rsidRPr="00AE28F7" w14:paraId="526E14B7" w14:textId="77777777" w:rsidTr="0094084A">
        <w:trPr>
          <w:trHeight w:val="369"/>
        </w:trPr>
        <w:tc>
          <w:tcPr>
            <w:tcW w:w="4117" w:type="dxa"/>
          </w:tcPr>
          <w:p w14:paraId="7D14342E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0B22D5BB" w14:textId="77777777" w:rsidR="00DD5AF3" w:rsidRPr="00AE28F7" w:rsidRDefault="002F78D1" w:rsidP="0094084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AE28F7">
              <w:rPr>
                <w:sz w:val="28"/>
                <w:szCs w:val="28"/>
                <w:lang w:val="ru-RU"/>
              </w:rPr>
              <w:t xml:space="preserve">  </w:t>
            </w:r>
            <w:r w:rsidR="002649DC" w:rsidRPr="00AE28F7">
              <w:rPr>
                <w:sz w:val="28"/>
                <w:szCs w:val="28"/>
                <w:lang w:val="ru-RU"/>
              </w:rPr>
              <w:t>У</w:t>
            </w:r>
            <w:r w:rsidRPr="00AE28F7">
              <w:rPr>
                <w:sz w:val="28"/>
                <w:szCs w:val="28"/>
                <w:lang w:val="ru-RU"/>
              </w:rPr>
              <w:t>кр</w:t>
            </w:r>
            <w:r w:rsidR="00F35395" w:rsidRPr="00AE28F7">
              <w:rPr>
                <w:sz w:val="28"/>
                <w:szCs w:val="28"/>
                <w:lang w:val="ru-RU"/>
              </w:rPr>
              <w:t>аїнська</w:t>
            </w:r>
          </w:p>
        </w:tc>
      </w:tr>
      <w:tr w:rsidR="00DD5AF3" w:rsidRPr="00AE28F7" w14:paraId="1AB82D61" w14:textId="77777777" w:rsidTr="0094084A">
        <w:trPr>
          <w:trHeight w:val="645"/>
        </w:trPr>
        <w:tc>
          <w:tcPr>
            <w:tcW w:w="4117" w:type="dxa"/>
          </w:tcPr>
          <w:p w14:paraId="641D89A5" w14:textId="77777777" w:rsidR="00DD5AF3" w:rsidRPr="00AE28F7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Передумови для вивчення</w:t>
            </w:r>
          </w:p>
          <w:p w14:paraId="5C365EA0" w14:textId="77777777" w:rsidR="00DD5AF3" w:rsidRPr="00AE28F7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14:paraId="2CD8F83E" w14:textId="77777777" w:rsidR="00DD5AF3" w:rsidRPr="00AE28F7" w:rsidRDefault="00A1756D" w:rsidP="00AE28F7">
            <w:pPr>
              <w:spacing w:after="9" w:line="259" w:lineRule="auto"/>
              <w:ind w:left="127" w:right="0"/>
              <w:rPr>
                <w:sz w:val="28"/>
              </w:rPr>
            </w:pPr>
            <w:r w:rsidRPr="00AE28F7">
              <w:rPr>
                <w:sz w:val="28"/>
                <w:lang w:eastAsia="ru-RU"/>
              </w:rPr>
              <w:t>Передумовами вивчення навчальної дисципліни є опанування таких навчальних дисциплін: інформатика, політична економія, економіка підприємства.</w:t>
            </w:r>
          </w:p>
        </w:tc>
      </w:tr>
      <w:tr w:rsidR="00DD5AF3" w:rsidRPr="00AE28F7" w14:paraId="557EBFD3" w14:textId="77777777" w:rsidTr="0094084A">
        <w:trPr>
          <w:trHeight w:val="642"/>
        </w:trPr>
        <w:tc>
          <w:tcPr>
            <w:tcW w:w="4117" w:type="dxa"/>
          </w:tcPr>
          <w:p w14:paraId="26B1A753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Кафедра, яка забезпечує</w:t>
            </w:r>
          </w:p>
          <w:p w14:paraId="086CE0C4" w14:textId="77777777" w:rsidR="00DD5AF3" w:rsidRPr="00AE28F7" w:rsidRDefault="00DD5AF3" w:rsidP="0094084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14:paraId="53F768DD" w14:textId="77777777" w:rsidR="00DD5AF3" w:rsidRPr="00AE28F7" w:rsidRDefault="00A1756D" w:rsidP="00AE28F7">
            <w:pPr>
              <w:pStyle w:val="TableParagraph"/>
              <w:ind w:left="127"/>
              <w:rPr>
                <w:sz w:val="28"/>
                <w:szCs w:val="28"/>
                <w:lang w:val="ru-RU"/>
              </w:rPr>
            </w:pPr>
            <w:r w:rsidRPr="00AE28F7">
              <w:rPr>
                <w:sz w:val="28"/>
                <w:szCs w:val="28"/>
                <w:lang w:val="ru-RU"/>
              </w:rPr>
              <w:t>Економічної теорії</w:t>
            </w:r>
          </w:p>
        </w:tc>
      </w:tr>
      <w:tr w:rsidR="00DD5AF3" w:rsidRPr="00AE28F7" w14:paraId="54EEBB7D" w14:textId="77777777" w:rsidTr="0094084A">
        <w:trPr>
          <w:trHeight w:val="371"/>
        </w:trPr>
        <w:tc>
          <w:tcPr>
            <w:tcW w:w="4117" w:type="dxa"/>
          </w:tcPr>
          <w:p w14:paraId="7A91DDD0" w14:textId="77777777" w:rsidR="00DD5AF3" w:rsidRPr="00AE28F7" w:rsidRDefault="00DD5AF3" w:rsidP="0094084A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48F75E70" w14:textId="77777777" w:rsidR="00DD5AF3" w:rsidRPr="00AE28F7" w:rsidRDefault="00DD5AF3" w:rsidP="00AE28F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D5AF3" w:rsidRPr="00AE28F7" w14:paraId="68E71AF4" w14:textId="77777777" w:rsidTr="0094084A">
        <w:trPr>
          <w:trHeight w:val="369"/>
        </w:trPr>
        <w:tc>
          <w:tcPr>
            <w:tcW w:w="4117" w:type="dxa"/>
          </w:tcPr>
          <w:p w14:paraId="659B8B37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1B38B0E6" w14:textId="77777777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 xml:space="preserve"> </w:t>
            </w:r>
            <w:r w:rsidR="00633AC0" w:rsidRPr="00AE28F7">
              <w:rPr>
                <w:sz w:val="28"/>
                <w:szCs w:val="28"/>
              </w:rPr>
              <w:t>Лекції,</w:t>
            </w:r>
            <w:r w:rsidRPr="00AE28F7">
              <w:rPr>
                <w:sz w:val="28"/>
                <w:szCs w:val="28"/>
              </w:rPr>
              <w:t xml:space="preserve"> </w:t>
            </w:r>
            <w:r w:rsidR="00633AC0" w:rsidRPr="00AE28F7">
              <w:rPr>
                <w:sz w:val="28"/>
                <w:szCs w:val="28"/>
              </w:rPr>
              <w:t>практичні</w:t>
            </w:r>
          </w:p>
        </w:tc>
      </w:tr>
      <w:tr w:rsidR="00DD5AF3" w:rsidRPr="00AE28F7" w14:paraId="141AB28E" w14:textId="77777777" w:rsidTr="0094084A">
        <w:trPr>
          <w:trHeight w:val="371"/>
        </w:trPr>
        <w:tc>
          <w:tcPr>
            <w:tcW w:w="4117" w:type="dxa"/>
          </w:tcPr>
          <w:p w14:paraId="0501F3B6" w14:textId="77777777" w:rsidR="00DD5AF3" w:rsidRPr="00AE28F7" w:rsidRDefault="00DD5AF3" w:rsidP="0094084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14:paraId="36EF4444" w14:textId="771F5D88" w:rsidR="00DD5AF3" w:rsidRPr="00AE28F7" w:rsidRDefault="00AE28F7" w:rsidP="0094084A">
            <w:pPr>
              <w:pStyle w:val="TableParagraph"/>
              <w:ind w:left="0"/>
              <w:rPr>
                <w:sz w:val="28"/>
                <w:szCs w:val="28"/>
              </w:rPr>
            </w:pPr>
            <w:r w:rsidRPr="00AE28F7">
              <w:rPr>
                <w:sz w:val="28"/>
                <w:szCs w:val="28"/>
              </w:rPr>
              <w:t xml:space="preserve"> </w:t>
            </w:r>
            <w:r w:rsidR="005F4D76">
              <w:rPr>
                <w:sz w:val="28"/>
                <w:szCs w:val="28"/>
              </w:rPr>
              <w:t>Залік (іспит)</w:t>
            </w:r>
          </w:p>
        </w:tc>
      </w:tr>
    </w:tbl>
    <w:p w14:paraId="5F40C0DC" w14:textId="77777777" w:rsidR="00DD5AF3" w:rsidRPr="00AE28F7" w:rsidRDefault="00DD5AF3" w:rsidP="00DD5AF3">
      <w:pPr>
        <w:pStyle w:val="a3"/>
        <w:spacing w:before="6"/>
        <w:rPr>
          <w:sz w:val="28"/>
          <w:szCs w:val="28"/>
          <w:lang w:val="ru-RU"/>
        </w:rPr>
      </w:pPr>
    </w:p>
    <w:p w14:paraId="52339881" w14:textId="77777777" w:rsidR="00DD5AF3" w:rsidRPr="00AE28F7" w:rsidRDefault="00DD5AF3" w:rsidP="00DD5AF3">
      <w:pPr>
        <w:pStyle w:val="a3"/>
        <w:ind w:left="258"/>
        <w:rPr>
          <w:b/>
          <w:sz w:val="28"/>
          <w:szCs w:val="28"/>
          <w:lang w:val="ru-RU"/>
        </w:rPr>
      </w:pPr>
      <w:r w:rsidRPr="00AE28F7">
        <w:rPr>
          <w:b/>
          <w:sz w:val="28"/>
          <w:szCs w:val="28"/>
          <w:lang w:val="ru-RU"/>
        </w:rPr>
        <w:t>Ключові результати навчання (знання, уміння та інші компетентності):</w:t>
      </w:r>
    </w:p>
    <w:p w14:paraId="206E6BE0" w14:textId="77777777" w:rsidR="00A1756D" w:rsidRPr="00AE28F7" w:rsidRDefault="00A1756D" w:rsidP="00DD5AF3">
      <w:pPr>
        <w:pStyle w:val="a3"/>
        <w:ind w:left="258"/>
        <w:rPr>
          <w:b/>
          <w:sz w:val="28"/>
          <w:szCs w:val="28"/>
          <w:lang w:val="ru-RU"/>
        </w:rPr>
      </w:pPr>
    </w:p>
    <w:p w14:paraId="472D3024" w14:textId="77777777" w:rsidR="00A1756D" w:rsidRPr="00AE28F7" w:rsidRDefault="00A1756D" w:rsidP="00A1756D">
      <w:pPr>
        <w:autoSpaceDE w:val="0"/>
        <w:autoSpaceDN w:val="0"/>
        <w:adjustRightInd w:val="0"/>
        <w:ind w:right="634" w:firstLine="567"/>
        <w:rPr>
          <w:sz w:val="28"/>
        </w:rPr>
      </w:pPr>
      <w:r w:rsidRPr="00AE28F7">
        <w:rPr>
          <w:sz w:val="28"/>
        </w:rPr>
        <w:t>Мета дисципліни: формування системних знань і розуміння концептуальних основ логістики як інструменту ринкової економіки, теорії і практики розвитку цього напряму та набуття вмінь і навичок ефективного управління матеріальними і відповідних їм інформаційними, фінансовими та сервісними потоками в сучасних умовах.</w:t>
      </w:r>
    </w:p>
    <w:p w14:paraId="2B9C9EA9" w14:textId="77777777" w:rsidR="00A1756D" w:rsidRPr="00AE28F7" w:rsidRDefault="00A1756D" w:rsidP="00A1756D">
      <w:pPr>
        <w:autoSpaceDE w:val="0"/>
        <w:autoSpaceDN w:val="0"/>
        <w:adjustRightInd w:val="0"/>
        <w:ind w:right="634" w:firstLine="567"/>
        <w:rPr>
          <w:sz w:val="28"/>
          <w:lang w:val="ru-RU"/>
        </w:rPr>
      </w:pPr>
      <w:r w:rsidRPr="00AE28F7">
        <w:rPr>
          <w:sz w:val="28"/>
          <w:lang w:val="ru-RU"/>
        </w:rPr>
        <w:t xml:space="preserve">Відповідно до освітньої програми, вивчення даної дисципліни сприяє формуванню у здобувачів вищої освіти таких компетентностей:  </w:t>
      </w:r>
    </w:p>
    <w:p w14:paraId="327F7B1C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ЗК4. Здатність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застосовувати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знання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у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практичних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ситуаціях.</w:t>
      </w:r>
    </w:p>
    <w:p w14:paraId="5FA2A01C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99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ЗК5. Здатність спілкуватися державною мовою як усно,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так</w:t>
      </w:r>
      <w:r w:rsidRPr="00AE28F7">
        <w:rPr>
          <w:spacing w:val="-1"/>
          <w:sz w:val="28"/>
          <w:szCs w:val="28"/>
        </w:rPr>
        <w:t xml:space="preserve"> </w:t>
      </w:r>
      <w:r w:rsidRPr="00AE28F7">
        <w:rPr>
          <w:sz w:val="28"/>
          <w:szCs w:val="28"/>
        </w:rPr>
        <w:t>і письмово.</w:t>
      </w:r>
    </w:p>
    <w:p w14:paraId="7CE54230" w14:textId="77777777" w:rsidR="00A1756D" w:rsidRPr="00AE28F7" w:rsidRDefault="00A1756D" w:rsidP="00A1756D">
      <w:pPr>
        <w:pStyle w:val="TableParagraph"/>
        <w:numPr>
          <w:ilvl w:val="0"/>
          <w:numId w:val="5"/>
        </w:numPr>
        <w:ind w:right="100"/>
        <w:jc w:val="both"/>
        <w:rPr>
          <w:sz w:val="28"/>
          <w:szCs w:val="28"/>
        </w:rPr>
      </w:pPr>
      <w:r w:rsidRPr="00AE28F7">
        <w:rPr>
          <w:sz w:val="28"/>
          <w:szCs w:val="28"/>
        </w:rPr>
        <w:t>ЗК7. Навички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використання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інформаційних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і</w:t>
      </w:r>
      <w:r w:rsidRPr="00AE28F7">
        <w:rPr>
          <w:spacing w:val="1"/>
          <w:sz w:val="28"/>
          <w:szCs w:val="28"/>
        </w:rPr>
        <w:t xml:space="preserve"> </w:t>
      </w:r>
      <w:r w:rsidRPr="00AE28F7">
        <w:rPr>
          <w:sz w:val="28"/>
          <w:szCs w:val="28"/>
        </w:rPr>
        <w:t>комунікаційних технологій.</w:t>
      </w:r>
    </w:p>
    <w:p w14:paraId="02291A7C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>ЗК9. Здатність до адаптації та дій в новій ситуації.</w:t>
      </w:r>
    </w:p>
    <w:p w14:paraId="7DE9C203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>ЗК11.</w:t>
      </w:r>
      <w:r w:rsidRPr="00AE28F7">
        <w:rPr>
          <w:spacing w:val="-4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Здатність</w:t>
      </w:r>
      <w:r w:rsidRPr="00AE28F7">
        <w:rPr>
          <w:spacing w:val="-6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приймати</w:t>
      </w:r>
      <w:r w:rsidRPr="00AE28F7">
        <w:rPr>
          <w:spacing w:val="-2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обґрунтовані</w:t>
      </w:r>
      <w:r w:rsidRPr="00AE28F7">
        <w:rPr>
          <w:spacing w:val="-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рішення.</w:t>
      </w:r>
    </w:p>
    <w:p w14:paraId="0BC4EB6D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>СК2. Здатність здійснювати професійну</w:t>
      </w:r>
      <w:r w:rsidRPr="00AE28F7">
        <w:rPr>
          <w:sz w:val="28"/>
          <w:szCs w:val="28"/>
          <w:lang w:val="ru-RU"/>
        </w:rPr>
        <w:tab/>
        <w:t>діяльність</w:t>
      </w:r>
      <w:r w:rsidRPr="00AE28F7">
        <w:rPr>
          <w:sz w:val="28"/>
          <w:szCs w:val="28"/>
          <w:lang w:val="ru-RU"/>
        </w:rPr>
        <w:tab/>
      </w:r>
      <w:r w:rsidRPr="00AE28F7">
        <w:rPr>
          <w:spacing w:val="-3"/>
          <w:sz w:val="28"/>
          <w:szCs w:val="28"/>
          <w:lang w:val="ru-RU"/>
        </w:rPr>
        <w:t>у</w:t>
      </w:r>
      <w:r w:rsidRPr="00AE28F7">
        <w:rPr>
          <w:spacing w:val="-67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відповідності</w:t>
      </w:r>
      <w:r w:rsidRPr="00AE28F7">
        <w:rPr>
          <w:spacing w:val="42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з</w:t>
      </w:r>
      <w:r w:rsidRPr="00AE28F7">
        <w:rPr>
          <w:spacing w:val="40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чинними</w:t>
      </w:r>
      <w:r w:rsidRPr="00AE28F7">
        <w:rPr>
          <w:spacing w:val="39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нормативними</w:t>
      </w:r>
      <w:r w:rsidRPr="00AE28F7">
        <w:rPr>
          <w:spacing w:val="42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та</w:t>
      </w:r>
      <w:r w:rsidRPr="00AE28F7">
        <w:rPr>
          <w:spacing w:val="38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правовими.</w:t>
      </w:r>
    </w:p>
    <w:p w14:paraId="1C88623B" w14:textId="77777777" w:rsidR="00A1756D" w:rsidRPr="00AE28F7" w:rsidRDefault="00A1756D" w:rsidP="00A1756D">
      <w:pPr>
        <w:pStyle w:val="a5"/>
        <w:numPr>
          <w:ilvl w:val="0"/>
          <w:numId w:val="5"/>
        </w:numPr>
        <w:spacing w:after="13"/>
        <w:ind w:right="634"/>
        <w:rPr>
          <w:sz w:val="28"/>
          <w:szCs w:val="28"/>
          <w:lang w:val="ru-RU"/>
        </w:rPr>
      </w:pPr>
      <w:r w:rsidRPr="00AE28F7">
        <w:rPr>
          <w:sz w:val="28"/>
          <w:szCs w:val="28"/>
          <w:lang w:val="ru-RU"/>
        </w:rPr>
        <w:t>СК7. Здатність застосовувати комп’ютерні технології та</w:t>
      </w:r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програмне забезпечення з обробки даних для вирішення</w:t>
      </w:r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економічних</w:t>
      </w:r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завдань,</w:t>
      </w:r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аналізу</w:t>
      </w:r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інформації</w:t>
      </w:r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та</w:t>
      </w:r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підготовки</w:t>
      </w:r>
      <w:r w:rsidRPr="00AE28F7">
        <w:rPr>
          <w:spacing w:val="1"/>
          <w:sz w:val="28"/>
          <w:szCs w:val="28"/>
          <w:lang w:val="ru-RU"/>
        </w:rPr>
        <w:t xml:space="preserve"> </w:t>
      </w:r>
      <w:r w:rsidRPr="00AE28F7">
        <w:rPr>
          <w:sz w:val="28"/>
          <w:szCs w:val="28"/>
          <w:lang w:val="ru-RU"/>
        </w:rPr>
        <w:t>аналітичних звітів.</w:t>
      </w:r>
    </w:p>
    <w:p w14:paraId="372D3CAA" w14:textId="77777777" w:rsidR="00AE28F7" w:rsidRDefault="00AE28F7" w:rsidP="00DD5AF3">
      <w:pPr>
        <w:pStyle w:val="a3"/>
        <w:spacing w:before="89"/>
        <w:ind w:left="258"/>
        <w:rPr>
          <w:b/>
          <w:sz w:val="28"/>
          <w:szCs w:val="28"/>
          <w:lang w:val="ru-RU"/>
        </w:rPr>
      </w:pPr>
    </w:p>
    <w:p w14:paraId="5D7D0752" w14:textId="77777777" w:rsidR="00AE28F7" w:rsidRDefault="00AE28F7" w:rsidP="00AE28F7">
      <w:pPr>
        <w:pStyle w:val="a3"/>
        <w:spacing w:before="89"/>
        <w:rPr>
          <w:b/>
          <w:sz w:val="28"/>
          <w:szCs w:val="28"/>
          <w:lang w:val="ru-RU"/>
        </w:rPr>
      </w:pPr>
    </w:p>
    <w:p w14:paraId="29D91855" w14:textId="77777777" w:rsidR="00623141" w:rsidRDefault="00623141" w:rsidP="00AE28F7">
      <w:pPr>
        <w:pStyle w:val="a3"/>
        <w:spacing w:before="89"/>
        <w:rPr>
          <w:b/>
          <w:sz w:val="28"/>
          <w:szCs w:val="28"/>
          <w:lang w:val="ru-RU"/>
        </w:rPr>
      </w:pPr>
    </w:p>
    <w:p w14:paraId="208EAC28" w14:textId="74A44087" w:rsidR="00DD5AF3" w:rsidRPr="00C224EE" w:rsidRDefault="00DD5AF3" w:rsidP="00C224EE">
      <w:pPr>
        <w:pStyle w:val="a3"/>
        <w:ind w:firstLine="567"/>
        <w:jc w:val="both"/>
        <w:rPr>
          <w:b/>
          <w:sz w:val="28"/>
          <w:szCs w:val="28"/>
          <w:lang w:val="ru-RU"/>
        </w:rPr>
      </w:pPr>
      <w:r w:rsidRPr="00C224EE">
        <w:rPr>
          <w:b/>
          <w:sz w:val="28"/>
          <w:szCs w:val="28"/>
          <w:lang w:val="ru-RU"/>
        </w:rPr>
        <w:lastRenderedPageBreak/>
        <w:t>Короткий зміст дисципліни (</w:t>
      </w:r>
      <w:r w:rsidR="00AE28F7" w:rsidRPr="00C224EE">
        <w:rPr>
          <w:b/>
          <w:sz w:val="28"/>
          <w:szCs w:val="28"/>
          <w:lang w:val="ru-RU"/>
        </w:rPr>
        <w:t>що буде вивчатися, перелік тем</w:t>
      </w:r>
      <w:r w:rsidR="00623141" w:rsidRPr="00C224EE">
        <w:rPr>
          <w:b/>
          <w:sz w:val="28"/>
          <w:szCs w:val="28"/>
          <w:lang w:val="ru-RU"/>
        </w:rPr>
        <w:t>):</w:t>
      </w:r>
    </w:p>
    <w:p w14:paraId="1C6F4C6E" w14:textId="77777777" w:rsidR="00DD5AF3" w:rsidRPr="00C224EE" w:rsidRDefault="00DD5AF3" w:rsidP="00C224EE">
      <w:pPr>
        <w:pStyle w:val="a3"/>
        <w:ind w:firstLine="567"/>
        <w:jc w:val="both"/>
        <w:rPr>
          <w:b/>
          <w:sz w:val="28"/>
          <w:szCs w:val="28"/>
          <w:lang w:val="ru-RU"/>
        </w:rPr>
      </w:pPr>
    </w:p>
    <w:p w14:paraId="4526F083" w14:textId="5F34EAA6" w:rsidR="000A4354" w:rsidRDefault="000A4354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  <w:r w:rsidRPr="00C224EE">
        <w:rPr>
          <w:b/>
          <w:color w:val="000000"/>
          <w:sz w:val="28"/>
          <w:lang w:val="en-US" w:eastAsia="ru-RU"/>
        </w:rPr>
        <w:t>Тема 1. Основні поняття менеджменту проектів</w:t>
      </w:r>
    </w:p>
    <w:p w14:paraId="41ECABF9" w14:textId="77777777" w:rsidR="001B1B87" w:rsidRPr="00C224EE" w:rsidRDefault="001B1B87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</w:p>
    <w:p w14:paraId="7E7EAC76" w14:textId="25E86D39" w:rsidR="0045798A" w:rsidRPr="00C224EE" w:rsidRDefault="000A4354" w:rsidP="00C224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  <w:r w:rsidRPr="00C224EE">
        <w:rPr>
          <w:color w:val="000000"/>
          <w:sz w:val="28"/>
          <w:lang w:val="en-US" w:eastAsia="ru-RU"/>
        </w:rPr>
        <w:t xml:space="preserve">Визначення проекту. Етапи проекту . Формування проектної команди: хто є хто. </w:t>
      </w:r>
      <w:proofErr w:type="gramStart"/>
      <w:r w:rsidRPr="00C224EE">
        <w:rPr>
          <w:color w:val="000000"/>
          <w:sz w:val="28"/>
          <w:lang w:val="en-US" w:eastAsia="ru-RU"/>
        </w:rPr>
        <w:t>Основні характеристики проекту.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45798A" w:rsidRPr="00C224EE">
        <w:rPr>
          <w:color w:val="000000"/>
          <w:sz w:val="28"/>
          <w:lang w:val="en-US" w:eastAsia="ru-RU"/>
        </w:rPr>
        <w:t>Класифікація проектів за різними ознаками.</w:t>
      </w:r>
      <w:proofErr w:type="gramEnd"/>
      <w:r w:rsidR="0045798A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45798A" w:rsidRPr="00C224EE">
        <w:rPr>
          <w:color w:val="000000"/>
          <w:sz w:val="28"/>
          <w:lang w:val="en-US" w:eastAsia="ru-RU"/>
        </w:rPr>
        <w:t>Модель управління проектами.</w:t>
      </w:r>
      <w:proofErr w:type="gramEnd"/>
      <w:r w:rsidR="0045798A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45798A" w:rsidRPr="00C224EE">
        <w:rPr>
          <w:color w:val="000000"/>
          <w:sz w:val="28"/>
          <w:lang w:val="en-US" w:eastAsia="ru-RU"/>
        </w:rPr>
        <w:t>Організатор або покровитель проекту (sponsor).</w:t>
      </w:r>
      <w:proofErr w:type="gramEnd"/>
      <w:r w:rsidR="0045798A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45798A" w:rsidRPr="00C224EE">
        <w:rPr>
          <w:color w:val="000000"/>
          <w:sz w:val="28"/>
          <w:lang w:val="en-US" w:eastAsia="ru-RU"/>
        </w:rPr>
        <w:t>Менеджер проекту (РМ).</w:t>
      </w:r>
      <w:proofErr w:type="gramEnd"/>
      <w:r w:rsidR="0045798A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45798A" w:rsidRPr="00C224EE">
        <w:rPr>
          <w:color w:val="000000"/>
          <w:sz w:val="28"/>
          <w:lang w:val="en-US" w:eastAsia="ru-RU"/>
        </w:rPr>
        <w:t>Керівник команди проекту, тім лід (team leader).</w:t>
      </w:r>
      <w:proofErr w:type="gramEnd"/>
      <w:r w:rsidR="0045798A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45798A" w:rsidRPr="00C224EE">
        <w:rPr>
          <w:color w:val="000000"/>
          <w:sz w:val="28"/>
          <w:lang w:val="en-US" w:eastAsia="ru-RU"/>
        </w:rPr>
        <w:t>Обов’язки тім ліда.</w:t>
      </w:r>
      <w:proofErr w:type="gramEnd"/>
      <w:r w:rsidR="0045798A" w:rsidRPr="00C224EE">
        <w:rPr>
          <w:color w:val="000000"/>
          <w:sz w:val="28"/>
          <w:lang w:val="en-US" w:eastAsia="ru-RU"/>
        </w:rPr>
        <w:t xml:space="preserve"> Характеристики команди.</w:t>
      </w:r>
    </w:p>
    <w:p w14:paraId="0C1ADA45" w14:textId="77777777" w:rsidR="00C224EE" w:rsidRDefault="00C224EE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2F8E3BA9" w14:textId="77777777" w:rsidR="001B1B87" w:rsidRDefault="001B1B87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0144E1FB" w14:textId="7D34351F" w:rsidR="00B30B52" w:rsidRDefault="00B30B52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  <w:r w:rsidRPr="00C224EE">
        <w:rPr>
          <w:b/>
          <w:color w:val="000000"/>
          <w:sz w:val="28"/>
          <w:lang w:val="en-US" w:eastAsia="ru-RU"/>
        </w:rPr>
        <w:t>Тема 2. Підготовка до роботи над проектом</w:t>
      </w:r>
    </w:p>
    <w:p w14:paraId="7E9391D1" w14:textId="77777777" w:rsidR="001B1B87" w:rsidRPr="00C224EE" w:rsidRDefault="001B1B87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</w:p>
    <w:p w14:paraId="258DABCB" w14:textId="7204C1E8" w:rsidR="00B30B52" w:rsidRPr="00C224EE" w:rsidRDefault="00B30B52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  <w:proofErr w:type="gramStart"/>
      <w:r w:rsidRPr="00C224EE">
        <w:rPr>
          <w:color w:val="000000"/>
          <w:sz w:val="28"/>
          <w:lang w:val="en-US" w:eastAsia="ru-RU"/>
        </w:rPr>
        <w:t>Формування паспорту проекту.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При</w:t>
      </w:r>
      <w:r w:rsidR="00C224EE">
        <w:rPr>
          <w:color w:val="000000"/>
          <w:sz w:val="28"/>
          <w:lang w:val="en-US" w:eastAsia="ru-RU"/>
        </w:rPr>
        <w:t>йняття рішень в межах проекту.</w:t>
      </w:r>
      <w:proofErr w:type="gramEnd"/>
      <w:r w:rsid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План комунікацій при роботі над проектом.</w:t>
      </w:r>
      <w:proofErr w:type="gramEnd"/>
      <w:r w:rsidRPr="00C224EE">
        <w:rPr>
          <w:color w:val="000000"/>
          <w:sz w:val="28"/>
          <w:lang w:val="en-US" w:eastAsia="ru-RU"/>
        </w:rPr>
        <w:t xml:space="preserve"> Формування бюджету. </w:t>
      </w:r>
      <w:proofErr w:type="gramStart"/>
      <w:r w:rsidRPr="00C224EE">
        <w:rPr>
          <w:color w:val="000000"/>
          <w:sz w:val="28"/>
          <w:lang w:val="en-US" w:eastAsia="ru-RU"/>
        </w:rPr>
        <w:t>Результати і засоби.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Визначення масштабу проекту.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Приклад паспорту проекту.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Варіанти – як працівник може прийняти рішення.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Від чого залежить, як приймати рішення.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Схема процесу прийняття рішень Врума і Джага.</w:t>
      </w:r>
      <w:proofErr w:type="gramEnd"/>
      <w:r w:rsidRPr="00C224EE">
        <w:rPr>
          <w:color w:val="000000"/>
          <w:sz w:val="28"/>
          <w:lang w:val="en-US" w:eastAsia="ru-RU"/>
        </w:rPr>
        <w:t xml:space="preserve"> Бюджет: типові витрати. </w:t>
      </w:r>
    </w:p>
    <w:p w14:paraId="0893B2AA" w14:textId="77777777" w:rsidR="00B30B52" w:rsidRDefault="00B30B52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7E4DED71" w14:textId="77777777" w:rsidR="001B1B87" w:rsidRPr="00C224EE" w:rsidRDefault="001B1B87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7D0CF0EE" w14:textId="3B8FDE1D" w:rsidR="00B30B52" w:rsidRDefault="00B30B52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  <w:r w:rsidRPr="00C224EE">
        <w:rPr>
          <w:b/>
          <w:color w:val="000000"/>
          <w:sz w:val="28"/>
          <w:lang w:val="en-US" w:eastAsia="ru-RU"/>
        </w:rPr>
        <w:t>Тема 3. Планування проекту</w:t>
      </w:r>
    </w:p>
    <w:p w14:paraId="0E9B0542" w14:textId="77777777" w:rsidR="001B1B87" w:rsidRPr="00C224EE" w:rsidRDefault="001B1B87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</w:p>
    <w:p w14:paraId="7483D471" w14:textId="46A0CBF0" w:rsidR="00B30B52" w:rsidRPr="00C224EE" w:rsidRDefault="00B30B52" w:rsidP="00C224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  <w:proofErr w:type="gramStart"/>
      <w:r w:rsidRPr="00C224EE">
        <w:rPr>
          <w:color w:val="000000"/>
          <w:sz w:val="28"/>
          <w:lang w:val="en-US" w:eastAsia="ru-RU"/>
        </w:rPr>
        <w:t>Розбиття роботи на завдання та оцінка часу і витрат.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Структура розподілу робіт (WBS).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Етапи побудови WBS.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Приклад побудови WBS.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Робочий лист, проект планування конференції.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Графічне представлення WBS, планування конференції.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Час виконання завдань при плануванні конференції.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WBS проекту «Фенікс».</w:t>
      </w:r>
      <w:proofErr w:type="gramEnd"/>
      <w:r w:rsidRPr="00C224EE">
        <w:rPr>
          <w:color w:val="000000"/>
          <w:sz w:val="28"/>
          <w:lang w:val="en-US" w:eastAsia="ru-RU"/>
        </w:rPr>
        <w:t xml:space="preserve"> Створення розкладу проекту: діаграма Ганта, діаграма ПЕРТ. </w:t>
      </w:r>
      <w:proofErr w:type="gramStart"/>
      <w:r w:rsidRPr="00C224EE">
        <w:rPr>
          <w:color w:val="000000"/>
          <w:sz w:val="28"/>
          <w:lang w:val="en-US" w:eastAsia="ru-RU"/>
        </w:rPr>
        <w:t>Мережева діаграма проекту (уявний приклад створення автомобіля).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Види взаємозв’язків між завданнями.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Діаграма Ганта для проекту Фенікс.</w:t>
      </w:r>
      <w:proofErr w:type="gramEnd"/>
      <w:r w:rsidRPr="00C224EE">
        <w:rPr>
          <w:color w:val="000000"/>
          <w:sz w:val="28"/>
          <w:lang w:val="en-US" w:eastAsia="ru-RU"/>
        </w:rPr>
        <w:t xml:space="preserve"> Критичний шлях. </w:t>
      </w:r>
      <w:proofErr w:type="gramStart"/>
      <w:r w:rsidRPr="00C224EE">
        <w:rPr>
          <w:color w:val="000000"/>
          <w:sz w:val="28"/>
          <w:lang w:val="en-US" w:eastAsia="ru-RU"/>
        </w:rPr>
        <w:t>Діаграма ПЕРТ (Project Evaluation and Review Technique).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Внесення поправок у розклад.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</w:p>
    <w:p w14:paraId="1948C9B1" w14:textId="77777777" w:rsidR="00C224EE" w:rsidRDefault="00C224EE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6C257C88" w14:textId="77777777" w:rsidR="001B1B87" w:rsidRDefault="001B1B87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45206050" w14:textId="186E45E6" w:rsidR="00B30B52" w:rsidRDefault="00B30B52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  <w:r w:rsidRPr="00C224EE">
        <w:rPr>
          <w:b/>
          <w:color w:val="000000"/>
          <w:sz w:val="28"/>
          <w:lang w:val="en-US" w:eastAsia="ru-RU"/>
        </w:rPr>
        <w:t>Тема 4. Управління ризиками у проекті</w:t>
      </w:r>
    </w:p>
    <w:p w14:paraId="75275926" w14:textId="77777777" w:rsidR="001B1B87" w:rsidRPr="00C224EE" w:rsidRDefault="001B1B87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</w:p>
    <w:p w14:paraId="3896FEEA" w14:textId="27F9DE1A" w:rsidR="00B30B52" w:rsidRPr="00C224EE" w:rsidRDefault="00B30B52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  <w:proofErr w:type="gramStart"/>
      <w:r w:rsidRPr="00C224EE">
        <w:rPr>
          <w:color w:val="000000"/>
          <w:sz w:val="28"/>
          <w:lang w:val="en-US" w:eastAsia="ru-RU"/>
        </w:rPr>
        <w:t>Управління передбачуваними ризиками.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940389" w:rsidRPr="00C224EE">
        <w:rPr>
          <w:color w:val="000000"/>
          <w:sz w:val="28"/>
          <w:lang w:val="en-US" w:eastAsia="ru-RU"/>
        </w:rPr>
        <w:t>Типи ризиків у проекті.</w:t>
      </w:r>
      <w:proofErr w:type="gramEnd"/>
      <w:r w:rsidR="00940389" w:rsidRPr="00C224EE">
        <w:rPr>
          <w:color w:val="000000"/>
          <w:sz w:val="28"/>
          <w:lang w:val="en-US" w:eastAsia="ru-RU"/>
        </w:rPr>
        <w:t xml:space="preserve"> Три етапи управління ризиками, які можна передбачити</w:t>
      </w:r>
      <w:proofErr w:type="gramStart"/>
      <w:r w:rsidR="00940389" w:rsidRPr="00C224EE">
        <w:rPr>
          <w:color w:val="000000"/>
          <w:sz w:val="28"/>
          <w:lang w:val="en-US" w:eastAsia="ru-RU"/>
        </w:rPr>
        <w:t>. </w:t>
      </w:r>
      <w:proofErr w:type="gramEnd"/>
      <w:r w:rsidR="00940389" w:rsidRPr="00C224EE">
        <w:rPr>
          <w:color w:val="000000"/>
          <w:sz w:val="28"/>
          <w:lang w:val="en-US" w:eastAsia="ru-RU"/>
        </w:rPr>
        <w:t xml:space="preserve"> Графік можливостей ризику. </w:t>
      </w:r>
      <w:proofErr w:type="gramStart"/>
      <w:r w:rsidR="00940389" w:rsidRPr="00C224EE">
        <w:rPr>
          <w:color w:val="000000"/>
          <w:sz w:val="28"/>
          <w:lang w:val="en-US" w:eastAsia="ru-RU"/>
        </w:rPr>
        <w:t>Матриця оцінки ризику.</w:t>
      </w:r>
      <w:proofErr w:type="gramEnd"/>
      <w:r w:rsidR="00940389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940389" w:rsidRPr="00C224EE">
        <w:rPr>
          <w:color w:val="000000"/>
          <w:sz w:val="28"/>
          <w:lang w:val="en-US" w:eastAsia="ru-RU"/>
        </w:rPr>
        <w:t>Методи оцінки ризику.</w:t>
      </w:r>
      <w:proofErr w:type="gramEnd"/>
      <w:r w:rsidR="00940389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940389" w:rsidRPr="00C224EE">
        <w:rPr>
          <w:color w:val="000000"/>
          <w:sz w:val="28"/>
          <w:lang w:val="en-US" w:eastAsia="ru-RU"/>
        </w:rPr>
        <w:t>Реакція на виявлені ризики.</w:t>
      </w:r>
      <w:proofErr w:type="gramEnd"/>
      <w:r w:rsidR="00940389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План дій у екстрених обставинах та створення резервного фонду.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940389" w:rsidRPr="00C224EE">
        <w:rPr>
          <w:color w:val="000000"/>
          <w:sz w:val="28"/>
          <w:lang w:val="en-US" w:eastAsia="ru-RU"/>
        </w:rPr>
        <w:t>Матриця реакцій на ризик.</w:t>
      </w:r>
      <w:proofErr w:type="gramEnd"/>
      <w:r w:rsidR="00940389" w:rsidRPr="00C224EE">
        <w:rPr>
          <w:color w:val="000000"/>
          <w:sz w:val="28"/>
          <w:lang w:val="en-US" w:eastAsia="ru-RU"/>
        </w:rPr>
        <w:t xml:space="preserve"> Резервні фонди. Кошторисні резерви. Резерви управління. </w:t>
      </w:r>
      <w:proofErr w:type="gramStart"/>
      <w:r w:rsidR="00940389" w:rsidRPr="00C224EE">
        <w:rPr>
          <w:color w:val="000000"/>
          <w:sz w:val="28"/>
          <w:lang w:val="en-US" w:eastAsia="ru-RU"/>
        </w:rPr>
        <w:t>Розрахунок фонду екстрених обставин (тис. дол.).</w:t>
      </w:r>
      <w:proofErr w:type="gramEnd"/>
      <w:r w:rsidR="00940389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Управління ризиками, які неможливо передбачити.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940389" w:rsidRPr="00C224EE">
        <w:rPr>
          <w:color w:val="000000"/>
          <w:sz w:val="28"/>
          <w:lang w:val="en-US" w:eastAsia="ru-RU"/>
        </w:rPr>
        <w:t>Джерела непередбачуваного ризику.</w:t>
      </w:r>
      <w:proofErr w:type="gramEnd"/>
      <w:r w:rsidR="00940389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940389" w:rsidRPr="00C224EE">
        <w:rPr>
          <w:color w:val="000000"/>
          <w:sz w:val="28"/>
          <w:lang w:val="en-US" w:eastAsia="ru-RU"/>
        </w:rPr>
        <w:t>Адаптивні моделі менеджменту проектів.</w:t>
      </w:r>
      <w:proofErr w:type="gramEnd"/>
      <w:r w:rsidR="00940389" w:rsidRPr="00C224EE">
        <w:rPr>
          <w:color w:val="000000"/>
          <w:sz w:val="28"/>
          <w:lang w:val="en-US" w:eastAsia="ru-RU"/>
        </w:rPr>
        <w:t xml:space="preserve"> </w:t>
      </w:r>
    </w:p>
    <w:p w14:paraId="597C3DAD" w14:textId="77777777" w:rsidR="00C224EE" w:rsidRDefault="00C224EE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01940ECE" w14:textId="77777777" w:rsidR="001B1B87" w:rsidRDefault="001B1B87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6D566BF1" w14:textId="77777777" w:rsidR="001B1B87" w:rsidRDefault="001B1B87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</w:p>
    <w:p w14:paraId="2777F91F" w14:textId="77777777" w:rsidR="001B1B87" w:rsidRDefault="001B1B87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</w:p>
    <w:p w14:paraId="5F2E5D90" w14:textId="0E570DBC" w:rsidR="00940389" w:rsidRDefault="00940389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  <w:r w:rsidRPr="00C224EE">
        <w:rPr>
          <w:b/>
          <w:color w:val="000000"/>
          <w:sz w:val="28"/>
          <w:lang w:val="en-US" w:eastAsia="ru-RU"/>
        </w:rPr>
        <w:lastRenderedPageBreak/>
        <w:t>Тема 5. Управління проектними командами</w:t>
      </w:r>
    </w:p>
    <w:p w14:paraId="28089C06" w14:textId="77777777" w:rsidR="001B1B87" w:rsidRPr="00C224EE" w:rsidRDefault="001B1B87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</w:p>
    <w:p w14:paraId="6F42DEF2" w14:textId="55E931AA" w:rsidR="00940389" w:rsidRPr="00C224EE" w:rsidRDefault="00940389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  <w:proofErr w:type="gramStart"/>
      <w:r w:rsidRPr="00C224EE">
        <w:rPr>
          <w:color w:val="000000"/>
          <w:sz w:val="28"/>
          <w:lang w:val="en-US" w:eastAsia="ru-RU"/>
        </w:rPr>
        <w:t>Формування і розвиток ефективних проектних команд.</w:t>
      </w:r>
      <w:proofErr w:type="gramEnd"/>
      <w:r w:rsidRPr="00C224EE">
        <w:rPr>
          <w:color w:val="000000"/>
          <w:sz w:val="28"/>
          <w:lang w:val="en-US" w:eastAsia="ru-RU"/>
        </w:rPr>
        <w:t xml:space="preserve"> Проведення нарад. </w:t>
      </w:r>
      <w:proofErr w:type="gramStart"/>
      <w:r w:rsidRPr="00C224EE">
        <w:rPr>
          <w:color w:val="000000"/>
          <w:sz w:val="28"/>
          <w:lang w:val="en-US" w:eastAsia="ru-RU"/>
        </w:rPr>
        <w:t>П'ятиступінчаста модель розвитку команди.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BC7F01" w:rsidRPr="00C224EE">
        <w:rPr>
          <w:color w:val="000000"/>
          <w:sz w:val="28"/>
          <w:lang w:val="en-US" w:eastAsia="ru-RU"/>
        </w:rPr>
        <w:t>Оптимальні умови для команди.</w:t>
      </w:r>
      <w:proofErr w:type="gramEnd"/>
      <w:r w:rsidR="00BC7F01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Управління конфліктами в проектній ситуації.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BC7F01" w:rsidRPr="00C224EE">
        <w:rPr>
          <w:color w:val="000000"/>
          <w:sz w:val="28"/>
          <w:lang w:val="en-US" w:eastAsia="ru-RU"/>
        </w:rPr>
        <w:t>Функції менеджера у конфліктній ситуації.</w:t>
      </w:r>
      <w:proofErr w:type="gramEnd"/>
      <w:r w:rsidR="00BC7F01" w:rsidRPr="00C224EE">
        <w:rPr>
          <w:color w:val="000000"/>
          <w:sz w:val="28"/>
          <w:lang w:val="en-US" w:eastAsia="ru-RU"/>
        </w:rPr>
        <w:t xml:space="preserve"> </w:t>
      </w:r>
      <w:r w:rsidRPr="00C224EE">
        <w:rPr>
          <w:color w:val="000000"/>
          <w:sz w:val="28"/>
          <w:lang w:val="en-US" w:eastAsia="ru-RU"/>
        </w:rPr>
        <w:t xml:space="preserve">Налагодження співпраці. </w:t>
      </w:r>
      <w:proofErr w:type="gramStart"/>
      <w:r w:rsidRPr="00C224EE">
        <w:rPr>
          <w:color w:val="000000"/>
          <w:sz w:val="28"/>
          <w:lang w:val="en-US" w:eastAsia="ru-RU"/>
        </w:rPr>
        <w:t>Труднощі проектних команд.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BC7F01" w:rsidRPr="00C224EE">
        <w:rPr>
          <w:color w:val="000000"/>
          <w:sz w:val="28"/>
          <w:lang w:val="en-US" w:eastAsia="ru-RU"/>
        </w:rPr>
        <w:t>Поради для налагодження співпраці.</w:t>
      </w:r>
      <w:proofErr w:type="gramEnd"/>
      <w:r w:rsidR="00BC7F01" w:rsidRPr="00C224EE">
        <w:rPr>
          <w:color w:val="000000"/>
          <w:sz w:val="28"/>
          <w:lang w:val="en-US" w:eastAsia="ru-RU"/>
        </w:rPr>
        <w:t xml:space="preserve"> Групове мислення: характерні явища. </w:t>
      </w:r>
    </w:p>
    <w:p w14:paraId="3CB6B0C0" w14:textId="77777777" w:rsidR="00C224EE" w:rsidRDefault="00C224EE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409CE02C" w14:textId="77777777" w:rsidR="001B1B87" w:rsidRDefault="001B1B87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445E6B0F" w14:textId="77777777" w:rsidR="00BC7F01" w:rsidRDefault="00BC7F01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  <w:r w:rsidRPr="00C224EE">
        <w:rPr>
          <w:b/>
          <w:color w:val="000000"/>
          <w:sz w:val="28"/>
          <w:lang w:val="en-US" w:eastAsia="ru-RU"/>
        </w:rPr>
        <w:t>Тема 6. Підтримання графіка робіт по проекту</w:t>
      </w:r>
    </w:p>
    <w:p w14:paraId="5D50BD84" w14:textId="77777777" w:rsidR="001B1B87" w:rsidRPr="00C224EE" w:rsidRDefault="001B1B87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</w:p>
    <w:p w14:paraId="296DB553" w14:textId="01BB0B5A" w:rsidR="00BC7F01" w:rsidRPr="00C224EE" w:rsidRDefault="00BC7F01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  <w:proofErr w:type="gramStart"/>
      <w:r w:rsidRPr="00C224EE">
        <w:rPr>
          <w:color w:val="000000"/>
          <w:sz w:val="28"/>
          <w:lang w:val="en-US" w:eastAsia="ru-RU"/>
        </w:rPr>
        <w:t>Система контролю за проектом.</w:t>
      </w:r>
      <w:proofErr w:type="gramEnd"/>
      <w:r w:rsidRPr="00C224EE">
        <w:rPr>
          <w:color w:val="000000"/>
          <w:sz w:val="28"/>
          <w:lang w:val="en-US" w:eastAsia="ru-RU"/>
        </w:rPr>
        <w:t xml:space="preserve"> Механізми контролю. </w:t>
      </w:r>
      <w:proofErr w:type="gramStart"/>
      <w:r w:rsidRPr="00C224EE">
        <w:rPr>
          <w:color w:val="000000"/>
          <w:sz w:val="28"/>
          <w:lang w:val="en-US" w:eastAsia="ru-RU"/>
        </w:rPr>
        <w:t>Місячний звіт по бюджету.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Чотири етапи процесу контролю.</w:t>
      </w:r>
      <w:proofErr w:type="gramEnd"/>
      <w:r w:rsidRPr="00C224EE">
        <w:rPr>
          <w:color w:val="000000"/>
          <w:sz w:val="28"/>
          <w:lang w:val="en-US" w:eastAsia="ru-RU"/>
        </w:rPr>
        <w:t xml:space="preserve">  </w:t>
      </w:r>
      <w:proofErr w:type="gramStart"/>
      <w:r w:rsidRPr="00C224EE">
        <w:rPr>
          <w:color w:val="000000"/>
          <w:sz w:val="28"/>
          <w:lang w:val="en-US" w:eastAsia="ru-RU"/>
        </w:rPr>
        <w:t>Підготовка звітів про стан проекту.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Звіт про відхилення проекту від плану.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Звіт про відхилення завдань від плану.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Графік Ганта для підготовки конференції.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Звіт про хід проекту, побудований за допомогою Діаграм Ганта.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Звіт про заплановані завданнях для кожного з членів робочої групи проекту.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Графік сумарних відхилень від нормативних витрат.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Графік сумарних витрат.</w:t>
      </w:r>
      <w:proofErr w:type="gramEnd"/>
    </w:p>
    <w:p w14:paraId="2B84D140" w14:textId="77777777" w:rsidR="00BC7F01" w:rsidRDefault="00BC7F01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7D83605E" w14:textId="77777777" w:rsidR="001B1B87" w:rsidRPr="00C224EE" w:rsidRDefault="001B1B87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</w:p>
    <w:p w14:paraId="3DE38AEB" w14:textId="47A78C38" w:rsidR="00BC7F01" w:rsidRDefault="00BC7F01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  <w:r w:rsidRPr="00C224EE">
        <w:rPr>
          <w:b/>
          <w:color w:val="000000"/>
          <w:sz w:val="28"/>
          <w:lang w:val="en-US" w:eastAsia="ru-RU"/>
        </w:rPr>
        <w:t>Тема 7. Завершення проекту</w:t>
      </w:r>
    </w:p>
    <w:p w14:paraId="3414FA2C" w14:textId="77777777" w:rsidR="001B1B87" w:rsidRPr="00C224EE" w:rsidRDefault="001B1B87" w:rsidP="00C224EE">
      <w:pPr>
        <w:widowControl w:val="0"/>
        <w:autoSpaceDE w:val="0"/>
        <w:autoSpaceDN w:val="0"/>
        <w:adjustRightInd w:val="0"/>
        <w:ind w:right="0" w:firstLine="567"/>
        <w:jc w:val="center"/>
        <w:rPr>
          <w:b/>
          <w:color w:val="000000"/>
          <w:sz w:val="28"/>
          <w:lang w:val="en-US" w:eastAsia="ru-RU"/>
        </w:rPr>
      </w:pPr>
      <w:bookmarkStart w:id="0" w:name="_GoBack"/>
      <w:bookmarkEnd w:id="0"/>
    </w:p>
    <w:p w14:paraId="1F141018" w14:textId="2329BE41" w:rsidR="00C224EE" w:rsidRPr="00C224EE" w:rsidRDefault="00BC7F01" w:rsidP="00C224EE">
      <w:pPr>
        <w:widowControl w:val="0"/>
        <w:autoSpaceDE w:val="0"/>
        <w:autoSpaceDN w:val="0"/>
        <w:adjustRightInd w:val="0"/>
        <w:ind w:right="0" w:firstLine="567"/>
        <w:rPr>
          <w:color w:val="000000"/>
          <w:sz w:val="28"/>
          <w:lang w:val="en-US" w:eastAsia="ru-RU"/>
        </w:rPr>
      </w:pPr>
      <w:proofErr w:type="gramStart"/>
      <w:r w:rsidRPr="00C224EE">
        <w:rPr>
          <w:color w:val="000000"/>
          <w:sz w:val="28"/>
          <w:lang w:val="en-US" w:eastAsia="ru-RU"/>
        </w:rPr>
        <w:t>Способи завершення проекту.</w:t>
      </w:r>
      <w:proofErr w:type="gramEnd"/>
      <w:r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C224EE" w:rsidRPr="00C224EE">
        <w:rPr>
          <w:color w:val="000000"/>
          <w:sz w:val="28"/>
          <w:lang w:val="en-US" w:eastAsia="ru-RU"/>
        </w:rPr>
        <w:t>Чотири основні способи закриття проекту</w:t>
      </w:r>
      <w:r w:rsidR="00C224EE" w:rsidRPr="00C224EE">
        <w:rPr>
          <w:color w:val="000000"/>
          <w:sz w:val="28"/>
          <w:lang w:val="en-US" w:eastAsia="ru-RU"/>
        </w:rPr>
        <w:t>.</w:t>
      </w:r>
      <w:proofErr w:type="gramEnd"/>
      <w:r w:rsidR="00C224EE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C224EE" w:rsidRPr="00C224EE">
        <w:rPr>
          <w:color w:val="000000"/>
          <w:sz w:val="28"/>
          <w:lang w:val="en-US" w:eastAsia="ru-RU"/>
        </w:rPr>
        <w:t>Чотири принципи післяпроектного огляду проведених робіт</w:t>
      </w:r>
      <w:r w:rsidR="00C224EE" w:rsidRPr="00C224EE">
        <w:rPr>
          <w:color w:val="000000"/>
          <w:sz w:val="28"/>
          <w:lang w:val="en-US" w:eastAsia="ru-RU"/>
        </w:rPr>
        <w:t>.</w:t>
      </w:r>
      <w:proofErr w:type="gramEnd"/>
      <w:r w:rsidR="00C224EE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C224EE" w:rsidRPr="00C224EE">
        <w:rPr>
          <w:color w:val="000000"/>
          <w:sz w:val="28"/>
          <w:lang w:val="en-US" w:eastAsia="ru-RU"/>
        </w:rPr>
        <w:t>Елементи адміністративної роботи при закритті проекту</w:t>
      </w:r>
      <w:r w:rsidR="00C224EE" w:rsidRPr="00C224EE">
        <w:rPr>
          <w:color w:val="000000"/>
          <w:sz w:val="28"/>
          <w:lang w:val="en-US" w:eastAsia="ru-RU"/>
        </w:rPr>
        <w:t>.</w:t>
      </w:r>
      <w:proofErr w:type="gramEnd"/>
      <w:r w:rsidR="00C224EE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C224EE" w:rsidRPr="00C224EE">
        <w:rPr>
          <w:color w:val="000000"/>
          <w:sz w:val="28"/>
          <w:lang w:val="en-US" w:eastAsia="ru-RU"/>
        </w:rPr>
        <w:t>Процес запланованого закінчення проекту.</w:t>
      </w:r>
      <w:proofErr w:type="gramEnd"/>
      <w:r w:rsidR="00C224EE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C224EE" w:rsidRPr="00C224EE">
        <w:rPr>
          <w:color w:val="000000"/>
          <w:sz w:val="28"/>
          <w:lang w:val="en-US" w:eastAsia="ru-RU"/>
        </w:rPr>
        <w:t>Чинники, на які слід звернути увагу при прийнятті рішення щодо припинення проекту.</w:t>
      </w:r>
      <w:proofErr w:type="gramEnd"/>
      <w:r w:rsidR="00C224EE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C224EE" w:rsidRPr="00C224EE">
        <w:rPr>
          <w:color w:val="000000"/>
          <w:sz w:val="28"/>
          <w:lang w:val="en-US" w:eastAsia="ru-RU"/>
        </w:rPr>
        <w:t>Дострокове припинення проекту.</w:t>
      </w:r>
      <w:proofErr w:type="gramEnd"/>
      <w:r w:rsidR="00C224EE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C224EE" w:rsidRPr="00C224EE">
        <w:rPr>
          <w:color w:val="000000"/>
          <w:sz w:val="28"/>
          <w:lang w:val="en-US" w:eastAsia="ru-RU"/>
        </w:rPr>
        <w:t>Розбиття роботи на завдання для дострокового припинення проекту.</w:t>
      </w:r>
      <w:proofErr w:type="gramEnd"/>
      <w:r w:rsidR="00C224EE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C224EE" w:rsidRPr="00C224EE">
        <w:rPr>
          <w:color w:val="000000"/>
          <w:sz w:val="28"/>
          <w:lang w:val="en-US" w:eastAsia="ru-RU"/>
        </w:rPr>
        <w:t>Проблеми при достроковому закритті проекту</w:t>
      </w:r>
      <w:r w:rsidR="00C224EE" w:rsidRPr="00C224EE">
        <w:rPr>
          <w:color w:val="000000"/>
          <w:sz w:val="28"/>
          <w:lang w:val="en-US" w:eastAsia="ru-RU"/>
        </w:rPr>
        <w:t>.</w:t>
      </w:r>
      <w:proofErr w:type="gramEnd"/>
      <w:r w:rsidR="00C224EE" w:rsidRPr="00C224EE">
        <w:rPr>
          <w:color w:val="000000"/>
          <w:sz w:val="28"/>
          <w:lang w:val="en-US" w:eastAsia="ru-RU"/>
        </w:rPr>
        <w:t xml:space="preserve"> </w:t>
      </w:r>
      <w:r w:rsidR="00C224EE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Pr="00C224EE">
        <w:rPr>
          <w:color w:val="000000"/>
          <w:sz w:val="28"/>
          <w:lang w:val="en-US" w:eastAsia="ru-RU"/>
        </w:rPr>
        <w:t>Підготовка фінальних звітів.</w:t>
      </w:r>
      <w:proofErr w:type="gramEnd"/>
      <w:r w:rsidR="00C224EE" w:rsidRPr="00C224EE">
        <w:rPr>
          <w:color w:val="000000"/>
          <w:sz w:val="28"/>
          <w:lang w:val="en-US" w:eastAsia="ru-RU"/>
        </w:rPr>
        <w:t xml:space="preserve"> </w:t>
      </w:r>
      <w:proofErr w:type="gramStart"/>
      <w:r w:rsidR="00C224EE" w:rsidRPr="00C224EE">
        <w:rPr>
          <w:color w:val="000000"/>
          <w:sz w:val="28"/>
          <w:lang w:val="en-US" w:eastAsia="ru-RU"/>
        </w:rPr>
        <w:t>Ф</w:t>
      </w:r>
      <w:r w:rsidR="00C224EE" w:rsidRPr="00C224EE">
        <w:rPr>
          <w:color w:val="000000"/>
          <w:sz w:val="28"/>
          <w:lang w:val="en-US" w:eastAsia="ru-RU"/>
        </w:rPr>
        <w:t xml:space="preserve">інальний звіт </w:t>
      </w:r>
      <w:r w:rsidR="00C224EE" w:rsidRPr="00C224EE">
        <w:rPr>
          <w:color w:val="000000"/>
          <w:sz w:val="28"/>
          <w:lang w:val="en-US" w:eastAsia="ru-RU"/>
        </w:rPr>
        <w:t>та його</w:t>
      </w:r>
      <w:r w:rsidR="00C224EE" w:rsidRPr="00C224EE">
        <w:rPr>
          <w:color w:val="000000"/>
          <w:sz w:val="28"/>
          <w:lang w:val="en-US" w:eastAsia="ru-RU"/>
        </w:rPr>
        <w:t xml:space="preserve"> елементи</w:t>
      </w:r>
      <w:r w:rsidR="00C224EE" w:rsidRPr="00C224EE">
        <w:rPr>
          <w:color w:val="000000"/>
          <w:sz w:val="28"/>
          <w:lang w:val="en-US" w:eastAsia="ru-RU"/>
        </w:rPr>
        <w:t>.</w:t>
      </w:r>
      <w:proofErr w:type="gramEnd"/>
      <w:r w:rsidR="00C224EE" w:rsidRPr="00C224EE">
        <w:rPr>
          <w:color w:val="000000"/>
          <w:sz w:val="28"/>
          <w:lang w:val="en-US" w:eastAsia="ru-RU"/>
        </w:rPr>
        <w:t xml:space="preserve"> </w:t>
      </w:r>
    </w:p>
    <w:p w14:paraId="2539C5ED" w14:textId="77777777" w:rsidR="00B30B52" w:rsidRPr="00B30B52" w:rsidRDefault="00B30B52" w:rsidP="00B30B52">
      <w:pPr>
        <w:widowControl w:val="0"/>
        <w:autoSpaceDE w:val="0"/>
        <w:autoSpaceDN w:val="0"/>
        <w:adjustRightInd w:val="0"/>
        <w:spacing w:after="240" w:line="440" w:lineRule="atLeast"/>
        <w:ind w:right="0"/>
        <w:jc w:val="left"/>
        <w:rPr>
          <w:color w:val="000000"/>
          <w:sz w:val="37"/>
          <w:szCs w:val="37"/>
          <w:lang w:val="en-US" w:eastAsia="ru-RU"/>
        </w:rPr>
      </w:pPr>
    </w:p>
    <w:p w14:paraId="545161D0" w14:textId="7DABE86C" w:rsidR="009B59E5" w:rsidRPr="00C224EE" w:rsidRDefault="009B59E5" w:rsidP="00C224EE">
      <w:pPr>
        <w:widowControl w:val="0"/>
        <w:autoSpaceDE w:val="0"/>
        <w:autoSpaceDN w:val="0"/>
        <w:adjustRightInd w:val="0"/>
        <w:spacing w:after="240" w:line="440" w:lineRule="atLeast"/>
        <w:ind w:right="0"/>
        <w:jc w:val="left"/>
        <w:rPr>
          <w:rFonts w:ascii="Times Roman" w:hAnsi="Times Roman" w:cs="Times Roman"/>
          <w:color w:val="000000"/>
          <w:sz w:val="24"/>
          <w:szCs w:val="24"/>
          <w:lang w:val="en-US" w:eastAsia="ru-RU"/>
        </w:rPr>
      </w:pPr>
    </w:p>
    <w:sectPr w:rsidR="009B59E5" w:rsidRPr="00C224EE" w:rsidSect="004B2B54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AB8DF" w14:textId="77777777" w:rsidR="00BC7F01" w:rsidRDefault="00BC7F01">
      <w:r>
        <w:separator/>
      </w:r>
    </w:p>
  </w:endnote>
  <w:endnote w:type="continuationSeparator" w:id="0">
    <w:p w14:paraId="71C08373" w14:textId="77777777" w:rsidR="00BC7F01" w:rsidRDefault="00BC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24027" w14:textId="77777777" w:rsidR="00BC7F01" w:rsidRDefault="00BC7F01">
      <w:r>
        <w:separator/>
      </w:r>
    </w:p>
  </w:footnote>
  <w:footnote w:type="continuationSeparator" w:id="0">
    <w:p w14:paraId="76595206" w14:textId="77777777" w:rsidR="00BC7F01" w:rsidRDefault="00BC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8A710B"/>
    <w:multiLevelType w:val="hybridMultilevel"/>
    <w:tmpl w:val="0B94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F3BB7"/>
    <w:multiLevelType w:val="hybridMultilevel"/>
    <w:tmpl w:val="5ABA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90894"/>
    <w:multiLevelType w:val="hybridMultilevel"/>
    <w:tmpl w:val="AB94F080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11301"/>
    <w:multiLevelType w:val="hybridMultilevel"/>
    <w:tmpl w:val="A6967438"/>
    <w:lvl w:ilvl="0" w:tplc="8054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018D0"/>
    <w:multiLevelType w:val="hybridMultilevel"/>
    <w:tmpl w:val="38F2F80A"/>
    <w:lvl w:ilvl="0" w:tplc="2D92A2FA">
      <w:start w:val="1"/>
      <w:numFmt w:val="decimal"/>
      <w:lvlText w:val="%1."/>
      <w:lvlJc w:val="left"/>
      <w:pPr>
        <w:ind w:left="119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009D84">
      <w:numFmt w:val="bullet"/>
      <w:lvlText w:val="•"/>
      <w:lvlJc w:val="left"/>
      <w:pPr>
        <w:ind w:left="2110" w:hanging="428"/>
      </w:pPr>
      <w:rPr>
        <w:rFonts w:hint="default"/>
        <w:lang w:val="uk-UA" w:eastAsia="en-US" w:bidi="ar-SA"/>
      </w:rPr>
    </w:lvl>
    <w:lvl w:ilvl="2" w:tplc="4CDC1474">
      <w:numFmt w:val="bullet"/>
      <w:lvlText w:val="•"/>
      <w:lvlJc w:val="left"/>
      <w:pPr>
        <w:ind w:left="3021" w:hanging="428"/>
      </w:pPr>
      <w:rPr>
        <w:rFonts w:hint="default"/>
        <w:lang w:val="uk-UA" w:eastAsia="en-US" w:bidi="ar-SA"/>
      </w:rPr>
    </w:lvl>
    <w:lvl w:ilvl="3" w:tplc="0FAA7164">
      <w:numFmt w:val="bullet"/>
      <w:lvlText w:val="•"/>
      <w:lvlJc w:val="left"/>
      <w:pPr>
        <w:ind w:left="3931" w:hanging="428"/>
      </w:pPr>
      <w:rPr>
        <w:rFonts w:hint="default"/>
        <w:lang w:val="uk-UA" w:eastAsia="en-US" w:bidi="ar-SA"/>
      </w:rPr>
    </w:lvl>
    <w:lvl w:ilvl="4" w:tplc="6D14085E">
      <w:numFmt w:val="bullet"/>
      <w:lvlText w:val="•"/>
      <w:lvlJc w:val="left"/>
      <w:pPr>
        <w:ind w:left="4842" w:hanging="428"/>
      </w:pPr>
      <w:rPr>
        <w:rFonts w:hint="default"/>
        <w:lang w:val="uk-UA" w:eastAsia="en-US" w:bidi="ar-SA"/>
      </w:rPr>
    </w:lvl>
    <w:lvl w:ilvl="5" w:tplc="4C9A2B26">
      <w:numFmt w:val="bullet"/>
      <w:lvlText w:val="•"/>
      <w:lvlJc w:val="left"/>
      <w:pPr>
        <w:ind w:left="5753" w:hanging="428"/>
      </w:pPr>
      <w:rPr>
        <w:rFonts w:hint="default"/>
        <w:lang w:val="uk-UA" w:eastAsia="en-US" w:bidi="ar-SA"/>
      </w:rPr>
    </w:lvl>
    <w:lvl w:ilvl="6" w:tplc="CA7C7CDA">
      <w:numFmt w:val="bullet"/>
      <w:lvlText w:val="•"/>
      <w:lvlJc w:val="left"/>
      <w:pPr>
        <w:ind w:left="6663" w:hanging="428"/>
      </w:pPr>
      <w:rPr>
        <w:rFonts w:hint="default"/>
        <w:lang w:val="uk-UA" w:eastAsia="en-US" w:bidi="ar-SA"/>
      </w:rPr>
    </w:lvl>
    <w:lvl w:ilvl="7" w:tplc="5D54C4AC">
      <w:numFmt w:val="bullet"/>
      <w:lvlText w:val="•"/>
      <w:lvlJc w:val="left"/>
      <w:pPr>
        <w:ind w:left="7574" w:hanging="428"/>
      </w:pPr>
      <w:rPr>
        <w:rFonts w:hint="default"/>
        <w:lang w:val="uk-UA" w:eastAsia="en-US" w:bidi="ar-SA"/>
      </w:rPr>
    </w:lvl>
    <w:lvl w:ilvl="8" w:tplc="7FB6EEDA">
      <w:numFmt w:val="bullet"/>
      <w:lvlText w:val="•"/>
      <w:lvlJc w:val="left"/>
      <w:pPr>
        <w:ind w:left="8485" w:hanging="428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dirty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DB"/>
    <w:rsid w:val="0008239B"/>
    <w:rsid w:val="000A4354"/>
    <w:rsid w:val="000F349F"/>
    <w:rsid w:val="00195169"/>
    <w:rsid w:val="001B1B87"/>
    <w:rsid w:val="001C1C0C"/>
    <w:rsid w:val="001D70FF"/>
    <w:rsid w:val="00222251"/>
    <w:rsid w:val="002649DC"/>
    <w:rsid w:val="002B3009"/>
    <w:rsid w:val="002F0EDB"/>
    <w:rsid w:val="002F78D1"/>
    <w:rsid w:val="00331152"/>
    <w:rsid w:val="00386438"/>
    <w:rsid w:val="003A5844"/>
    <w:rsid w:val="00417BA6"/>
    <w:rsid w:val="004229D4"/>
    <w:rsid w:val="00426EE1"/>
    <w:rsid w:val="0045798A"/>
    <w:rsid w:val="0049279C"/>
    <w:rsid w:val="004B2B54"/>
    <w:rsid w:val="004C5C54"/>
    <w:rsid w:val="00513F14"/>
    <w:rsid w:val="0053666F"/>
    <w:rsid w:val="005A1305"/>
    <w:rsid w:val="005B5FA6"/>
    <w:rsid w:val="005F4D76"/>
    <w:rsid w:val="00623141"/>
    <w:rsid w:val="00633AC0"/>
    <w:rsid w:val="00664DFA"/>
    <w:rsid w:val="007707EC"/>
    <w:rsid w:val="0089151A"/>
    <w:rsid w:val="008F2F6E"/>
    <w:rsid w:val="008F3C3F"/>
    <w:rsid w:val="0093541E"/>
    <w:rsid w:val="0093628F"/>
    <w:rsid w:val="00940389"/>
    <w:rsid w:val="0094084A"/>
    <w:rsid w:val="009B59E5"/>
    <w:rsid w:val="00A06734"/>
    <w:rsid w:val="00A1756D"/>
    <w:rsid w:val="00AA6A41"/>
    <w:rsid w:val="00AC2ECE"/>
    <w:rsid w:val="00AE28F7"/>
    <w:rsid w:val="00B101CE"/>
    <w:rsid w:val="00B30B52"/>
    <w:rsid w:val="00B47DDB"/>
    <w:rsid w:val="00B71C95"/>
    <w:rsid w:val="00B95AA1"/>
    <w:rsid w:val="00BC7F01"/>
    <w:rsid w:val="00BD18DA"/>
    <w:rsid w:val="00C10E0B"/>
    <w:rsid w:val="00C224EE"/>
    <w:rsid w:val="00C77141"/>
    <w:rsid w:val="00CF5016"/>
    <w:rsid w:val="00DB0D0F"/>
    <w:rsid w:val="00DD5AF3"/>
    <w:rsid w:val="00EE0BD8"/>
    <w:rsid w:val="00F1637B"/>
    <w:rsid w:val="00F35395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982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3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5">
    <w:name w:val="List Paragraph"/>
    <w:basedOn w:val="a"/>
    <w:uiPriority w:val="1"/>
    <w:qFormat/>
    <w:rsid w:val="00A1756D"/>
    <w:pPr>
      <w:spacing w:after="54" w:line="271" w:lineRule="auto"/>
      <w:ind w:left="720" w:right="602" w:hanging="10"/>
      <w:contextualSpacing/>
    </w:pPr>
    <w:rPr>
      <w:rFonts w:eastAsia="Times New Roman"/>
      <w:color w:val="000000"/>
      <w:sz w:val="24"/>
      <w:szCs w:val="22"/>
      <w:lang w:val="en-US"/>
    </w:rPr>
  </w:style>
  <w:style w:type="paragraph" w:styleId="a6">
    <w:name w:val="No Spacing"/>
    <w:uiPriority w:val="1"/>
    <w:qFormat/>
    <w:rsid w:val="00664DFA"/>
    <w:rPr>
      <w:rFonts w:eastAsia="Times New Roman"/>
      <w:sz w:val="22"/>
      <w:szCs w:val="22"/>
      <w:lang w:val="uk-UA" w:eastAsia="uk-UA"/>
    </w:rPr>
  </w:style>
  <w:style w:type="paragraph" w:customStyle="1" w:styleId="Heading2">
    <w:name w:val="Heading 2"/>
    <w:basedOn w:val="a"/>
    <w:uiPriority w:val="1"/>
    <w:qFormat/>
    <w:rsid w:val="00664DFA"/>
    <w:pPr>
      <w:widowControl w:val="0"/>
      <w:autoSpaceDE w:val="0"/>
      <w:autoSpaceDN w:val="0"/>
      <w:ind w:left="741" w:right="0"/>
      <w:jc w:val="left"/>
      <w:outlineLvl w:val="2"/>
    </w:pPr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3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5">
    <w:name w:val="List Paragraph"/>
    <w:basedOn w:val="a"/>
    <w:uiPriority w:val="1"/>
    <w:qFormat/>
    <w:rsid w:val="00A1756D"/>
    <w:pPr>
      <w:spacing w:after="54" w:line="271" w:lineRule="auto"/>
      <w:ind w:left="720" w:right="602" w:hanging="10"/>
      <w:contextualSpacing/>
    </w:pPr>
    <w:rPr>
      <w:rFonts w:eastAsia="Times New Roman"/>
      <w:color w:val="000000"/>
      <w:sz w:val="24"/>
      <w:szCs w:val="22"/>
      <w:lang w:val="en-US"/>
    </w:rPr>
  </w:style>
  <w:style w:type="paragraph" w:styleId="a6">
    <w:name w:val="No Spacing"/>
    <w:uiPriority w:val="1"/>
    <w:qFormat/>
    <w:rsid w:val="00664DFA"/>
    <w:rPr>
      <w:rFonts w:eastAsia="Times New Roman"/>
      <w:sz w:val="22"/>
      <w:szCs w:val="22"/>
      <w:lang w:val="uk-UA" w:eastAsia="uk-UA"/>
    </w:rPr>
  </w:style>
  <w:style w:type="paragraph" w:customStyle="1" w:styleId="Heading2">
    <w:name w:val="Heading 2"/>
    <w:basedOn w:val="a"/>
    <w:uiPriority w:val="1"/>
    <w:qFormat/>
    <w:rsid w:val="00664DFA"/>
    <w:pPr>
      <w:widowControl w:val="0"/>
      <w:autoSpaceDE w:val="0"/>
      <w:autoSpaceDN w:val="0"/>
      <w:ind w:left="741" w:right="0"/>
      <w:jc w:val="left"/>
      <w:outlineLvl w:val="2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794</Words>
  <Characters>4530</Characters>
  <Application>Microsoft Macintosh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Links>
    <vt:vector size="30" baseType="variant">
      <vt:variant>
        <vt:i4>1507415</vt:i4>
      </vt:variant>
      <vt:variant>
        <vt:i4>12</vt:i4>
      </vt:variant>
      <vt:variant>
        <vt:i4>0</vt:i4>
      </vt:variant>
      <vt:variant>
        <vt:i4>5</vt:i4>
      </vt:variant>
      <vt:variant>
        <vt:lpwstr>http://www.ropnet.ru/</vt:lpwstr>
      </vt:variant>
      <vt:variant>
        <vt:lpwstr/>
      </vt:variant>
      <vt:variant>
        <vt:i4>2949216</vt:i4>
      </vt:variant>
      <vt:variant>
        <vt:i4>9</vt:i4>
      </vt:variant>
      <vt:variant>
        <vt:i4>0</vt:i4>
      </vt:variant>
      <vt:variant>
        <vt:i4>5</vt:i4>
      </vt:variant>
      <vt:variant>
        <vt:lpwstr>http://www.clm.org/</vt:lpwstr>
      </vt:variant>
      <vt:variant>
        <vt:lpwstr/>
      </vt:variant>
      <vt:variant>
        <vt:i4>2883708</vt:i4>
      </vt:variant>
      <vt:variant>
        <vt:i4>6</vt:i4>
      </vt:variant>
      <vt:variant>
        <vt:i4>0</vt:i4>
      </vt:variant>
      <vt:variant>
        <vt:i4>5</vt:i4>
      </vt:variant>
      <vt:variant>
        <vt:lpwstr>http://www.loglink.com/</vt:lpwstr>
      </vt:variant>
      <vt:variant>
        <vt:lpwstr/>
      </vt:variant>
      <vt:variant>
        <vt:i4>8126571</vt:i4>
      </vt:variant>
      <vt:variant>
        <vt:i4>3</vt:i4>
      </vt:variant>
      <vt:variant>
        <vt:i4>0</vt:i4>
      </vt:variant>
      <vt:variant>
        <vt:i4>5</vt:i4>
      </vt:variant>
      <vt:variant>
        <vt:lpwstr>http://www.loginfo.ru/</vt:lpwstr>
      </vt:variant>
      <vt:variant>
        <vt:lpwstr/>
      </vt:variant>
      <vt:variant>
        <vt:i4>196684</vt:i4>
      </vt:variant>
      <vt:variant>
        <vt:i4>0</vt:i4>
      </vt:variant>
      <vt:variant>
        <vt:i4>0</vt:i4>
      </vt:variant>
      <vt:variant>
        <vt:i4>5</vt:i4>
      </vt:variant>
      <vt:variant>
        <vt:lpwstr>http://www.expert.ua/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Vitaliy Erfan</cp:lastModifiedBy>
  <cp:revision>9</cp:revision>
  <dcterms:created xsi:type="dcterms:W3CDTF">2022-04-18T20:19:00Z</dcterms:created>
  <dcterms:modified xsi:type="dcterms:W3CDTF">2022-04-19T06:38:00Z</dcterms:modified>
</cp:coreProperties>
</file>