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1A6F6A" w:rsidRPr="001A6F6A" w:rsidTr="001A6F6A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before="300" w:after="15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5EC2B0EB" wp14:editId="6E0A21BA">
                  <wp:extent cx="568960" cy="758190"/>
                  <wp:effectExtent l="0" t="0" r="2540" b="3810"/>
                  <wp:docPr id="1" name="Рисунок 1" descr="http://zakonst.rada.gov.ua/images/gerb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zakonst.rada.gov.ua/images/gerb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960" cy="758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A6F6A" w:rsidRPr="001A6F6A" w:rsidTr="001A6F6A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bdr w:val="none" w:sz="0" w:space="0" w:color="auto" w:frame="1"/>
                <w:lang w:eastAsia="ru-RU"/>
              </w:rPr>
              <w:t>МІНІСТЕРСТВО ОСВІТИ І НАУКИ УКРАЇНИ</w:t>
            </w:r>
          </w:p>
        </w:tc>
      </w:tr>
      <w:tr w:rsidR="001A6F6A" w:rsidRPr="001A6F6A" w:rsidTr="001A6F6A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bdr w:val="none" w:sz="0" w:space="0" w:color="auto" w:frame="1"/>
                <w:lang w:eastAsia="ru-RU"/>
              </w:rPr>
              <w:t>НАКАЗ</w:t>
            </w:r>
          </w:p>
        </w:tc>
      </w:tr>
      <w:tr w:rsidR="001A6F6A" w:rsidRPr="001A6F6A" w:rsidTr="001A6F6A">
        <w:tc>
          <w:tcPr>
            <w:tcW w:w="97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ind w:left="450" w:right="45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01.11.2016  № 1297</w:t>
            </w:r>
          </w:p>
        </w:tc>
      </w:tr>
      <w:tr w:rsidR="001A6F6A" w:rsidRPr="001A6F6A" w:rsidTr="001A6F6A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tblBorders>
        </w:tblPrEx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n3"/>
            <w:bookmarkEnd w:id="0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Зареєстровано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Міністерстві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юстиції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 листопада 2016 р.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№ 1521/29651</w:t>
            </w:r>
          </w:p>
        </w:tc>
      </w:tr>
    </w:tbl>
    <w:p w:rsidR="001A6F6A" w:rsidRPr="001A6F6A" w:rsidRDefault="001A6F6A" w:rsidP="001A6F6A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" w:name="n4"/>
      <w:bookmarkEnd w:id="1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Про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внесення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змін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до Порядку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державної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реєстрації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та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обл</w:t>
      </w:r>
      <w:proofErr w:type="gram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іку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відкритих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науково-дослідних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дослідно-конструкторських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робіт</w:t>
      </w:r>
      <w:proofErr w:type="spellEnd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 xml:space="preserve"> і </w:t>
      </w:r>
      <w:proofErr w:type="spellStart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дисертацій</w:t>
      </w:r>
      <w:proofErr w:type="spellEnd"/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" w:name="n5"/>
      <w:bookmarkEnd w:id="2"/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 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"http://zakon5.rada.gov.ua/laws/show/3322-12" \t "_blank" </w:instrText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статті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11</w:t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Закону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«Про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науково-технічну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та з метою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приведення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відповідність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чинного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законодавства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нормативно-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правових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актів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науки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1A6F6A">
        <w:rPr>
          <w:rFonts w:ascii="Times New Roman" w:eastAsia="Times New Roman" w:hAnsi="Times New Roman" w:cs="Times New Roman"/>
          <w:b/>
          <w:bCs/>
          <w:color w:val="000000"/>
          <w:spacing w:val="30"/>
          <w:sz w:val="24"/>
          <w:szCs w:val="24"/>
          <w:bdr w:val="none" w:sz="0" w:space="0" w:color="auto" w:frame="1"/>
          <w:lang w:eastAsia="ru-RU"/>
        </w:rPr>
        <w:t>НАКАЗУЮ: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" w:name="n6"/>
      <w:bookmarkEnd w:id="3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 </w:t>
      </w:r>
      <w:hyperlink r:id="rId6" w:tgtFrame="_blank" w:history="1"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Порядку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державної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реєстрації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proofErr w:type="gram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обл</w:t>
        </w:r>
        <w:proofErr w:type="gram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іку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відкритих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науково-дослідних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,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дослідно-конструкторських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робіт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і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дисертацій</w:t>
        </w:r>
        <w:proofErr w:type="spellEnd"/>
      </w:hyperlink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наказом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освіти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науки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27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жовтня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2008 року № 977,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зареєстрованого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Міністерстві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юстиції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06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квітня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2009 року за № 312/16328,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додаються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" w:name="n7"/>
      <w:bookmarkEnd w:id="4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Департаменту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науково-технічного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розвитку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Чеберкус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Д.В.) подати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наказ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Міністерства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юстиції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установленому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законодавством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порядку.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5" w:name="n8"/>
      <w:bookmarkEnd w:id="5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Управлінню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адм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іністративно-господарського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забезпечення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встановленому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порядку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зробити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відмітку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справах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архіву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6" w:name="n9"/>
      <w:bookmarkEnd w:id="6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Контроль за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виконанням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наказу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покласти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заступника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іху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М.В.</w:t>
      </w:r>
    </w:p>
    <w:p w:rsidR="001A6F6A" w:rsidRPr="001A6F6A" w:rsidRDefault="001A6F6A" w:rsidP="001A6F6A">
      <w:pPr>
        <w:spacing w:after="10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7" w:name="n10"/>
      <w:bookmarkEnd w:id="7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наказ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набирає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чинності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дня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його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офіційного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опублікування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1685"/>
        <w:gridCol w:w="3744"/>
      </w:tblGrid>
      <w:tr w:rsidR="001A6F6A" w:rsidRPr="001A6F6A" w:rsidTr="001A6F6A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n11"/>
            <w:bookmarkEnd w:id="8"/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</w:t>
            </w:r>
            <w:proofErr w:type="gram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35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Л.М. Гриневич</w:t>
            </w:r>
          </w:p>
        </w:tc>
      </w:tr>
      <w:tr w:rsidR="001A6F6A" w:rsidRPr="001A6F6A" w:rsidTr="001A6F6A">
        <w:tc>
          <w:tcPr>
            <w:tcW w:w="3000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before="150" w:after="15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n12"/>
            <w:bookmarkEnd w:id="9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ПОГОДЖЕНО: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Перший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віце-прем'єр-міні</w:t>
            </w:r>
            <w:proofErr w:type="gram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Міністр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економічного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і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торгівлі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Президент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Національної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академії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України</w:t>
            </w:r>
            <w:proofErr w:type="spellEnd"/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before="150" w:after="15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С.І.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Кубів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Б.Є. Патон</w:t>
            </w:r>
          </w:p>
        </w:tc>
      </w:tr>
    </w:tbl>
    <w:p w:rsidR="001A6F6A" w:rsidRPr="001A6F6A" w:rsidRDefault="001A6F6A" w:rsidP="001A6F6A">
      <w:pPr>
        <w:spacing w:before="60" w:after="10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0" w:name="n53"/>
      <w:bookmarkEnd w:id="10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pict>
          <v:rect id="_x0000_i1025" style="width:0;height:0" o:hralign="center" o:hrstd="t" o:hrnoshade="t" o:hr="t" fillcolor="black" stroked="f"/>
        </w:pic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17"/>
        <w:gridCol w:w="3744"/>
      </w:tblGrid>
      <w:tr w:rsidR="001A6F6A" w:rsidRPr="001A6F6A" w:rsidTr="001A6F6A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n13"/>
            <w:bookmarkEnd w:id="11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ЗАТВЕРДЖЕНО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Наказ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Міністерства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освіти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і науки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01.11.2016  № 1297</w:t>
            </w:r>
          </w:p>
        </w:tc>
      </w:tr>
      <w:tr w:rsidR="001A6F6A" w:rsidRPr="001A6F6A" w:rsidTr="001A6F6A">
        <w:tc>
          <w:tcPr>
            <w:tcW w:w="3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n14"/>
            <w:bookmarkEnd w:id="12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20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Зареєстровано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в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Міністерстві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юстиції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України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23 листопада 2016 р.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за № 1521/29651</w:t>
            </w:r>
          </w:p>
        </w:tc>
      </w:tr>
    </w:tbl>
    <w:p w:rsidR="001A6F6A" w:rsidRPr="001A6F6A" w:rsidRDefault="001A6F6A" w:rsidP="001A6F6A">
      <w:pPr>
        <w:spacing w:after="0" w:line="240" w:lineRule="auto"/>
        <w:ind w:left="450" w:right="450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3" w:name="n15"/>
      <w:bookmarkEnd w:id="13"/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lastRenderedPageBreak/>
        <w:t>ЗМІНИ </w:t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br/>
      </w:r>
      <w:r w:rsidRPr="001A6F6A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bdr w:val="none" w:sz="0" w:space="0" w:color="auto" w:frame="1"/>
          <w:lang w:eastAsia="ru-RU"/>
        </w:rPr>
        <w:t>до </w:t>
      </w:r>
      <w:hyperlink r:id="rId7" w:tgtFrame="_blank" w:history="1"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Порядку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державної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реєстрації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та </w:t>
        </w:r>
        <w:proofErr w:type="spellStart"/>
        <w:proofErr w:type="gram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обл</w:t>
        </w:r>
        <w:proofErr w:type="gram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іку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відкритих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науково-дослідних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,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дослідно-конструкторських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робіт</w:t>
        </w:r>
        <w:proofErr w:type="spellEnd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 xml:space="preserve"> і </w:t>
        </w:r>
        <w:proofErr w:type="spellStart"/>
        <w:r w:rsidRPr="001A6F6A">
          <w:rPr>
            <w:rFonts w:ascii="Times New Roman" w:eastAsia="Times New Roman" w:hAnsi="Times New Roman" w:cs="Times New Roman"/>
            <w:b/>
            <w:bCs/>
            <w:color w:val="000099"/>
            <w:sz w:val="32"/>
            <w:szCs w:val="32"/>
            <w:u w:val="single"/>
            <w:bdr w:val="none" w:sz="0" w:space="0" w:color="auto" w:frame="1"/>
            <w:lang w:eastAsia="ru-RU"/>
          </w:rPr>
          <w:t>дисертацій</w:t>
        </w:r>
        <w:proofErr w:type="spellEnd"/>
      </w:hyperlink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4" w:name="n16"/>
      <w:bookmarkEnd w:id="14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1.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5" w:name="n17"/>
      <w:bookmarkEnd w:id="15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1)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1.4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слова «III та IV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івнів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акредитації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виключити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6" w:name="n18"/>
      <w:bookmarkEnd w:id="16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2)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1.5 слова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інститут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науково-технічної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економічної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Український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інститут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науково-технічної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експертизи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7" w:name="n19"/>
      <w:bookmarkEnd w:id="17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3)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1.7: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8" w:name="n20"/>
      <w:bookmarkEnd w:id="18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перший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«(СD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DVD диски)»;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19" w:name="n21"/>
      <w:bookmarkEnd w:id="19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викласти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0" w:name="n22"/>
      <w:bookmarkEnd w:id="20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бланків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вигляді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 тому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числі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надаються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вимогу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отримуються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веб-сайту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Структура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носіях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мають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бути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ідентичними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1" w:name="n23"/>
      <w:bookmarkEnd w:id="21"/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пункт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абзацом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такого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2" w:name="n24"/>
      <w:bookmarkEnd w:id="22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Програмне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забезпечення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бланка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надається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вимогу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отримується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із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веб-сайту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3" w:name="n25"/>
      <w:bookmarkEnd w:id="23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2.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ІІІ: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4" w:name="n26"/>
      <w:bookmarkEnd w:id="24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3.1: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5" w:name="n27"/>
      <w:bookmarkEnd w:id="25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п’ятий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викласти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6" w:name="n28"/>
      <w:bookmarkEnd w:id="26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НДР (ДКР)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набраний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одним файлом у MS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Word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(шрифт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Times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New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розмі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14, тип файла - (&lt; &gt;.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doc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))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Adobe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Acrobat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тип файла (&lt; &gt;.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завірений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ідентичності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керівника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НДР (ДКР)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ярлику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наклеєному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титульну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сторінку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завірену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ідентичності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ідписом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керівника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НДР (ДКР), та список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їхніми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підписами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печатками;»;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7" w:name="n29"/>
      <w:bookmarkEnd w:id="27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восьмий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стандартизації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та цифрами «(ДСТУ 3008-95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Документація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сфері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науки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техніки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Структура і правила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оформлення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)»;</w:t>
      </w:r>
      <w:proofErr w:type="gramEnd"/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8" w:name="n30"/>
      <w:bookmarkEnd w:id="28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пункт 3.4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реченням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такого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: «Для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повернення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Виконавцю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бланків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не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відповідають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вимогам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цього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Порядку, 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виправлення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e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поштові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марки.».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29" w:name="n31"/>
      <w:bookmarkEnd w:id="29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3.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IV: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0" w:name="n32"/>
      <w:bookmarkEnd w:id="30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4.1: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1" w:name="n33"/>
      <w:bookmarkEnd w:id="31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в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абзаці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першому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«Порядком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присудження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ступенів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присвоєння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вченого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звання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старшого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наукового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співробітника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07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березня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2007 р. № 423»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та цифрами «</w:t>
      </w:r>
      <w:hyperlink r:id="rId8" w:anchor="n10" w:tgtFrame="_blank" w:history="1"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Порядком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присудження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наукових</w:t>
        </w:r>
        <w:proofErr w:type="spellEnd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ступенів</w:t>
        </w:r>
        <w:proofErr w:type="spellEnd"/>
      </w:hyperlink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24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липня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2013 р. № 567».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2" w:name="n34"/>
      <w:bookmarkEnd w:id="32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п’ятий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викласти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такій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редакції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3" w:name="n35"/>
      <w:bookmarkEnd w:id="33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«автореферат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дисертацію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(СD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DVD диски),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набрані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одним файлом у MS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Word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(шрифт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Times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New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Roman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розмі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</w:t>
      </w:r>
      <w:proofErr w:type="spellEnd"/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14, тип файла -</w:t>
      </w:r>
      <w:r w:rsidRPr="001A6F6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(&lt; &gt;.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doc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))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або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Adobe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Acrobat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тип файла (&lt; &gt;.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pdf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завірені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щодо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ідентичності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дисертації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паперовому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підписом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голови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спеціалізованої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вченої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ради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ярлику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наклеєному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носії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4" w:name="n36"/>
      <w:bookmarkEnd w:id="34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4.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V: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5" w:name="n37"/>
      <w:bookmarkEnd w:id="35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четвертий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9153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ідпункту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5.3.6 пункту 5.3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цифр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«002 -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обов’язкова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БД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закриття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НДР)»;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6" w:name="n38"/>
      <w:bookmarkEnd w:id="36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5535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5.4.5 пункту 5.4: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7" w:name="n39"/>
      <w:bookmarkEnd w:id="37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другий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цифр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«35 -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Дозволяється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копіювати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роботи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державного бюджету)»;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8" w:name="n40"/>
      <w:bookmarkEnd w:id="38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третій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цифр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«35 - Не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дозволяється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копіювати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тільки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робіт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що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виконувались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власні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інших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джерел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замовників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іноземних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держав)».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39" w:name="n41"/>
      <w:bookmarkEnd w:id="39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абзац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четвертий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позиції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9153 у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ідпункті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5.5.1 пункту 5.5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після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цифр та слова «002 -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обов’язкове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подання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реєстраційної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картки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технологій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30-денний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термін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моменту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закриття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НДР)».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0" w:name="n42"/>
      <w:bookmarkEnd w:id="40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5.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VІ: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1" w:name="n43"/>
      <w:bookmarkEnd w:id="41"/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доповнити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розділ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новими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пунктами такого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змісту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2" w:name="n44"/>
      <w:bookmarkEnd w:id="42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«6.4.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має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поширення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інформації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про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відкриті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несекретні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 НДР (ДКР),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були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бюджетні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кошти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Пошукова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система,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бібліографічний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опис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номери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НДР (ДКР)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розміщені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на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офіційному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веб-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сайті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в читальному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електронної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бібліотеки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3" w:name="n45"/>
      <w:bookmarkEnd w:id="43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6.5. Доступ до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повних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дисертацій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звітів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надається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тільки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наявності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офіційного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листа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установи,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вищого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навчального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закладу в читальному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залі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УкрІНТЕІ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Умови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доступу: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комерційний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некомерційний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(для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і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установ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які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фінансуються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державного бюджету).».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4" w:name="n46"/>
      <w:bookmarkEnd w:id="44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6. 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текст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Порядку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додатках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до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нього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5" w:name="n47"/>
      <w:bookmarkEnd w:id="45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Єдиним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ідприємств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організацій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Єдиним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реєстром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юридичних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підприємців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громадських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формувань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6" w:name="n48"/>
      <w:bookmarkEnd w:id="46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слова «Закон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«Про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юридичних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ідприємців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всіх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відмінках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</w:t>
      </w:r>
      <w:hyperlink r:id="rId9" w:tgtFrame="_blank" w:history="1"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 xml:space="preserve">Закон </w:t>
        </w:r>
        <w:proofErr w:type="spellStart"/>
        <w:r w:rsidRPr="001A6F6A">
          <w:rPr>
            <w:rFonts w:ascii="Times New Roman" w:eastAsia="Times New Roman" w:hAnsi="Times New Roman" w:cs="Times New Roman"/>
            <w:color w:val="000099"/>
            <w:sz w:val="24"/>
            <w:szCs w:val="24"/>
            <w:u w:val="single"/>
            <w:bdr w:val="none" w:sz="0" w:space="0" w:color="auto" w:frame="1"/>
            <w:lang w:eastAsia="ru-RU"/>
          </w:rPr>
          <w:t>України</w:t>
        </w:r>
        <w:proofErr w:type="spellEnd"/>
      </w:hyperlink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«Про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державну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реєстрацію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юридичних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фізичних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осіб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підприємців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громадських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формувань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»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відповідних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відмінках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7" w:name="n49"/>
      <w:bookmarkEnd w:id="47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цифру і слова «2 -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мовою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»,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російською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та» в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усіх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відмінках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виключити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;</w:t>
      </w:r>
    </w:p>
    <w:p w:rsidR="001A6F6A" w:rsidRPr="001A6F6A" w:rsidRDefault="001A6F6A" w:rsidP="001A6F6A">
      <w:pPr>
        <w:spacing w:after="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8" w:name="n50"/>
      <w:bookmarkEnd w:id="48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слова і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цифри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Примірної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інструкції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з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діловодства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міністерствах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інших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центральних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органах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виконавчої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Раді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</w:t>
      </w:r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стр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Автономної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Республіки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Крим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місцевих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органах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виконавчої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влади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17.10.97 № 1153»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і цифрами «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begin"/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instrText xml:space="preserve"> HYPERLINK "http://zakon5.rada.gov.ua/laws/show/1242-2011-%D0%BF" \t "_blank" </w:instrText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separate"/>
      </w:r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Типової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інструкції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з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діловодства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у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центральних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органах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виконавчої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влади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Раді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міні</w:t>
      </w:r>
      <w:proofErr w:type="gram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стр</w:t>
      </w:r>
      <w:proofErr w:type="gram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ів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Автономної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Республіки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Крим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місцевих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органах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виконавчої</w:t>
      </w:r>
      <w:proofErr w:type="spellEnd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99"/>
          <w:sz w:val="24"/>
          <w:szCs w:val="24"/>
          <w:u w:val="single"/>
          <w:bdr w:val="none" w:sz="0" w:space="0" w:color="auto" w:frame="1"/>
          <w:lang w:eastAsia="ru-RU"/>
        </w:rPr>
        <w:t>влади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fldChar w:fldCharType="end"/>
      </w:r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затвердженої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постановою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Кабінету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Міністрів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України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від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30 листопада 2011 року № 1242»;</w:t>
      </w:r>
    </w:p>
    <w:p w:rsidR="001A6F6A" w:rsidRPr="001A6F6A" w:rsidRDefault="001A6F6A" w:rsidP="001A6F6A">
      <w:pPr>
        <w:spacing w:after="100" w:line="240" w:lineRule="auto"/>
        <w:ind w:firstLine="45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  <w:bookmarkStart w:id="49" w:name="n51"/>
      <w:bookmarkEnd w:id="49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слова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поштовий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індекс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область, район, </w:t>
      </w:r>
      <w:proofErr w:type="spellStart"/>
      <w:proofErr w:type="gram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</w:t>
      </w:r>
      <w:proofErr w:type="gram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істо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будинок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)»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замінити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словами «(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вулиця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будинок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місто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, район, область, </w:t>
      </w:r>
      <w:proofErr w:type="spellStart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індекс</w:t>
      </w:r>
      <w:proofErr w:type="spellEnd"/>
      <w:r w:rsidRPr="001A6F6A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)».</w:t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2"/>
        <w:gridCol w:w="5429"/>
      </w:tblGrid>
      <w:tr w:rsidR="001A6F6A" w:rsidRPr="001A6F6A" w:rsidTr="001A6F6A">
        <w:tc>
          <w:tcPr>
            <w:tcW w:w="21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0" w:name="n52"/>
            <w:bookmarkEnd w:id="50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Директор департаменту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науково-технічного</w:t>
            </w:r>
            <w:proofErr w:type="spellEnd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розвитку</w:t>
            </w:r>
            <w:proofErr w:type="spellEnd"/>
          </w:p>
        </w:tc>
        <w:tc>
          <w:tcPr>
            <w:tcW w:w="3500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:rsidR="001A6F6A" w:rsidRPr="001A6F6A" w:rsidRDefault="001A6F6A" w:rsidP="001A6F6A">
            <w:pPr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6F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Д.В. </w:t>
            </w:r>
            <w:proofErr w:type="spellStart"/>
            <w:r w:rsidRPr="001A6F6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Чеберкус</w:t>
            </w:r>
            <w:proofErr w:type="spellEnd"/>
          </w:p>
        </w:tc>
      </w:tr>
    </w:tbl>
    <w:p w:rsidR="001A6F6A" w:rsidRPr="001A6F6A" w:rsidRDefault="001A6F6A" w:rsidP="001A6F6A">
      <w:pPr>
        <w:pBdr>
          <w:bottom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bookmarkStart w:id="51" w:name="Find"/>
      <w:bookmarkEnd w:id="51"/>
      <w:r w:rsidRPr="001A6F6A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tbl>
      <w:tblPr>
        <w:tblW w:w="0" w:type="auto"/>
        <w:jc w:val="center"/>
        <w:tblCellSpacing w:w="0" w:type="dxa"/>
        <w:tblBorders>
          <w:top w:val="single" w:sz="6" w:space="0" w:color="2474C1"/>
          <w:left w:val="single" w:sz="6" w:space="0" w:color="2474C1"/>
          <w:bottom w:val="single" w:sz="6" w:space="0" w:color="2474C1"/>
          <w:right w:val="single" w:sz="6" w:space="0" w:color="2474C1"/>
        </w:tblBorders>
        <w:shd w:val="clear" w:color="auto" w:fill="2474B1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56"/>
      </w:tblGrid>
      <w:tr w:rsidR="001A6F6A" w:rsidRPr="001A6F6A" w:rsidTr="001A6F6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2474B1"/>
            <w:vAlign w:val="center"/>
            <w:hideMark/>
          </w:tcPr>
          <w:tbl>
            <w:tblPr>
              <w:tblW w:w="5000" w:type="pct"/>
              <w:tblCellSpacing w:w="0" w:type="dxa"/>
              <w:shd w:val="clear" w:color="auto" w:fill="F5F5F5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1"/>
              <w:gridCol w:w="245"/>
              <w:gridCol w:w="2336"/>
              <w:gridCol w:w="3172"/>
              <w:gridCol w:w="227"/>
            </w:tblGrid>
            <w:tr w:rsidR="001A6F6A" w:rsidRPr="001A6F6A">
              <w:trPr>
                <w:trHeight w:val="336"/>
                <w:tblCellSpacing w:w="0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</w:pPr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2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noWrap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</w:pPr>
                  <w:r w:rsidRPr="001A6F6A">
                    <w:rPr>
                      <w:rFonts w:ascii="Verdana" w:eastAsia="Times New Roman" w:hAnsi="Verdana" w:cs="Times New Roman"/>
                      <w:noProof/>
                      <w:sz w:val="17"/>
                      <w:szCs w:val="17"/>
                      <w:lang w:eastAsia="ru-RU"/>
                    </w:rPr>
                    <w:drawing>
                      <wp:inline distT="0" distB="0" distL="0" distR="0" wp14:anchorId="557484E9" wp14:editId="721BB808">
                        <wp:extent cx="156210" cy="144780"/>
                        <wp:effectExtent l="0" t="0" r="0" b="7620"/>
                        <wp:docPr id="2" name="Рисунок 2" descr="Пошук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7" descr="Пошук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56210" cy="1447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noWrap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</w:pPr>
                  <w:proofErr w:type="spellStart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Знайти</w:t>
                  </w:r>
                  <w:proofErr w:type="spellEnd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 xml:space="preserve"> слова на </w:t>
                  </w:r>
                  <w:proofErr w:type="spellStart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стор</w:t>
                  </w:r>
                  <w:proofErr w:type="gramStart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i</w:t>
                  </w:r>
                  <w:proofErr w:type="gramEnd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нцi</w:t>
                  </w:r>
                  <w:proofErr w:type="spellEnd"/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: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noWrap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</w:pPr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object w:dxaOrig="1440" w:dyaOrig="1440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34" type="#_x0000_t75" style="width:156.3pt;height:18.45pt" o:ole="">
                        <v:imagedata r:id="rId11" o:title=""/>
                      </v:shape>
                      <w:control r:id="rId12" w:name="DefaultOcxName" w:shapeid="_x0000_i1034"/>
                    </w:object>
                  </w:r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5F5F5"/>
                  <w:noWrap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</w:pPr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object w:dxaOrig="1440" w:dyaOrig="1440">
                      <v:shape id="_x0000_i1033" type="#_x0000_t75" style="width:8.8pt;height:8.8pt" o:ole="">
                        <v:imagedata r:id="rId13" o:title=""/>
                      </v:shape>
                      <w:control r:id="rId14" w:name="DefaultOcxName1" w:shapeid="_x0000_i1033"/>
                    </w:object>
                  </w:r>
                  <w:r w:rsidRPr="001A6F6A">
                    <w:rPr>
                      <w:rFonts w:ascii="Verdana" w:eastAsia="Times New Roman" w:hAnsi="Verdana" w:cs="Times New Roman"/>
                      <w:sz w:val="17"/>
                      <w:szCs w:val="17"/>
                      <w:lang w:eastAsia="ru-RU"/>
                    </w:rPr>
                    <w:t> </w:t>
                  </w:r>
                </w:p>
              </w:tc>
            </w:tr>
            <w:tr w:rsidR="001A6F6A" w:rsidRPr="001A6F6A">
              <w:trPr>
                <w:trHeight w:val="12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8F5FE"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sz w:val="2"/>
                      <w:szCs w:val="17"/>
                      <w:lang w:eastAsia="ru-RU"/>
                    </w:rPr>
                  </w:pPr>
                </w:p>
              </w:tc>
            </w:tr>
            <w:tr w:rsidR="001A6F6A" w:rsidRPr="001A6F6A">
              <w:trPr>
                <w:trHeight w:val="192"/>
                <w:tblCellSpacing w:w="0" w:type="dxa"/>
              </w:trPr>
              <w:tc>
                <w:tcPr>
                  <w:tcW w:w="0" w:type="auto"/>
                  <w:gridSpan w:val="5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8F5FE"/>
                  <w:noWrap/>
                  <w:vAlign w:val="center"/>
                  <w:hideMark/>
                </w:tcPr>
                <w:p w:rsidR="001A6F6A" w:rsidRPr="001A6F6A" w:rsidRDefault="001A6F6A" w:rsidP="001A6F6A">
                  <w:pPr>
                    <w:spacing w:after="0" w:line="240" w:lineRule="auto"/>
                    <w:jc w:val="center"/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</w:pPr>
                  <w:r w:rsidRPr="001A6F6A">
                    <w:rPr>
                      <w:rFonts w:ascii="Tahoma" w:eastAsia="Times New Roman" w:hAnsi="Tahoma" w:cs="Tahoma"/>
                      <w:b/>
                      <w:bCs/>
                      <w:color w:val="006600"/>
                      <w:sz w:val="14"/>
                      <w:szCs w:val="14"/>
                      <w:bdr w:val="none" w:sz="0" w:space="0" w:color="auto" w:frame="1"/>
                      <w:lang w:eastAsia="ru-RU"/>
                    </w:rPr>
                    <w:t>*</w:t>
                  </w:r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 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т</w:t>
                  </w:r>
                  <w:proofErr w:type="gram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i</w:t>
                  </w:r>
                  <w:proofErr w:type="gram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льки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українськi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 (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або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 рос.) 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лiтери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, 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мiнiмальна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 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довжина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 xml:space="preserve"> слова </w:t>
                  </w:r>
                  <w:r w:rsidRPr="001A6F6A">
                    <w:rPr>
                      <w:rFonts w:ascii="Tahoma" w:eastAsia="Times New Roman" w:hAnsi="Tahoma" w:cs="Tahoma"/>
                      <w:b/>
                      <w:bCs/>
                      <w:color w:val="006600"/>
                      <w:sz w:val="14"/>
                      <w:szCs w:val="14"/>
                      <w:bdr w:val="none" w:sz="0" w:space="0" w:color="auto" w:frame="1"/>
                      <w:lang w:eastAsia="ru-RU"/>
                    </w:rPr>
                    <w:t>3</w:t>
                  </w:r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 </w:t>
                  </w:r>
                  <w:proofErr w:type="spellStart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символи</w:t>
                  </w:r>
                  <w:proofErr w:type="spellEnd"/>
                  <w:r w:rsidRPr="001A6F6A">
                    <w:rPr>
                      <w:rFonts w:ascii="Tahoma" w:eastAsia="Times New Roman" w:hAnsi="Tahoma" w:cs="Tahoma"/>
                      <w:color w:val="006600"/>
                      <w:sz w:val="14"/>
                      <w:szCs w:val="14"/>
                      <w:lang w:eastAsia="ru-RU"/>
                    </w:rPr>
                    <w:t>...</w:t>
                  </w:r>
                </w:p>
              </w:tc>
            </w:tr>
          </w:tbl>
          <w:p w:rsidR="001A6F6A" w:rsidRPr="001A6F6A" w:rsidRDefault="001A6F6A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F6A" w:rsidRPr="001A6F6A" w:rsidRDefault="001A6F6A" w:rsidP="001A6F6A">
      <w:pPr>
        <w:pBdr>
          <w:top w:val="single" w:sz="6" w:space="1" w:color="auto"/>
        </w:pBdr>
        <w:spacing w:after="10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1A6F6A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6"/>
        <w:gridCol w:w="6"/>
      </w:tblGrid>
      <w:tr w:rsidR="001A6F6A" w:rsidRPr="001A6F6A" w:rsidTr="001A6F6A">
        <w:trPr>
          <w:tblCellSpacing w:w="0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F6A" w:rsidRPr="001A6F6A" w:rsidRDefault="001A6F6A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F6A" w:rsidRPr="001A6F6A" w:rsidRDefault="001A6F6A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1A6F6A" w:rsidRPr="001A6F6A" w:rsidRDefault="001A6F6A" w:rsidP="001A6F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1A6F6A" w:rsidRPr="001A6F6A" w:rsidRDefault="001A6F6A" w:rsidP="001A6F6A">
      <w:pPr>
        <w:spacing w:before="60" w:after="100" w:line="360" w:lineRule="atLeast"/>
        <w:textAlignment w:val="baseline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1A6F6A">
        <w:rPr>
          <w:rFonts w:ascii="Arial" w:eastAsia="Times New Roman" w:hAnsi="Arial" w:cs="Arial"/>
          <w:color w:val="000000"/>
          <w:sz w:val="20"/>
          <w:szCs w:val="20"/>
          <w:lang w:eastAsia="ru-RU"/>
        </w:rPr>
        <w:pict>
          <v:rect id="_x0000_i1026" style="width:0;height:0" o:hralign="center" o:hrstd="t" o:hrnoshade="t" o:hr="t" fillcolor="black" stroked="f"/>
        </w:pict>
      </w:r>
    </w:p>
    <w:p w:rsidR="001A6F6A" w:rsidRPr="001A6F6A" w:rsidRDefault="001A6F6A" w:rsidP="001A6F6A">
      <w:pPr>
        <w:spacing w:before="60" w:after="6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6F6A">
        <w:rPr>
          <w:rFonts w:ascii="Arial" w:eastAsia="Times New Roman" w:hAnsi="Arial" w:cs="Arial"/>
          <w:color w:val="000000"/>
          <w:sz w:val="20"/>
          <w:szCs w:val="20"/>
          <w:shd w:val="clear" w:color="auto" w:fill="FFFFFF"/>
          <w:lang w:eastAsia="ru-RU"/>
        </w:rPr>
        <w:t> </w:t>
      </w:r>
    </w:p>
    <w:p w:rsidR="001A6F6A" w:rsidRPr="001A6F6A" w:rsidRDefault="001A6F6A" w:rsidP="001A6F6A">
      <w:pPr>
        <w:shd w:val="clear" w:color="auto" w:fill="E8F5FE"/>
        <w:spacing w:after="100" w:line="195" w:lineRule="atLeast"/>
        <w:jc w:val="center"/>
        <w:textAlignment w:val="baseline"/>
        <w:rPr>
          <w:rFonts w:ascii="Arial" w:eastAsia="Times New Roman" w:hAnsi="Arial" w:cs="Arial"/>
          <w:color w:val="000000"/>
          <w:sz w:val="17"/>
          <w:szCs w:val="17"/>
          <w:lang w:eastAsia="ru-RU"/>
        </w:rPr>
      </w:pPr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lastRenderedPageBreak/>
        <w:t xml:space="preserve">©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Верховна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Рада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України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1994-2017</w:t>
      </w:r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програмно-технічна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proofErr w:type="gram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</w:t>
      </w:r>
      <w:proofErr w:type="gram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ідтримка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—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Управління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комп'ютеризованих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систем</w:t>
      </w:r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br/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Інформаційна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підтримка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—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Відділ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баз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даних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нормативно-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правової</w:t>
      </w:r>
      <w:proofErr w:type="spellEnd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 xml:space="preserve"> </w:t>
      </w:r>
      <w:proofErr w:type="spellStart"/>
      <w:r w:rsidRPr="001A6F6A">
        <w:rPr>
          <w:rFonts w:ascii="Arial" w:eastAsia="Times New Roman" w:hAnsi="Arial" w:cs="Arial"/>
          <w:color w:val="000000"/>
          <w:sz w:val="17"/>
          <w:szCs w:val="17"/>
          <w:lang w:eastAsia="ru-RU"/>
        </w:rPr>
        <w:t>інформації</w:t>
      </w:r>
      <w:proofErr w:type="spellEnd"/>
    </w:p>
    <w:p w:rsidR="00B37830" w:rsidRDefault="00B37830">
      <w:bookmarkStart w:id="52" w:name="_GoBack"/>
      <w:bookmarkEnd w:id="52"/>
    </w:p>
    <w:sectPr w:rsidR="00B37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6F6A"/>
    <w:rsid w:val="001A6F6A"/>
    <w:rsid w:val="00B37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6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6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6F6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9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560298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603190">
              <w:marLeft w:val="0"/>
              <w:marRight w:val="0"/>
              <w:marTop w:val="0"/>
              <w:marBottom w:val="0"/>
              <w:divBdr>
                <w:top w:val="single" w:sz="6" w:space="4" w:color="DCDCDC"/>
                <w:left w:val="single" w:sz="6" w:space="4" w:color="DCDCDC"/>
                <w:bottom w:val="single" w:sz="6" w:space="0" w:color="DCDCDC"/>
                <w:right w:val="single" w:sz="6" w:space="4" w:color="DCDCDC"/>
              </w:divBdr>
              <w:divsChild>
                <w:div w:id="186162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3954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048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0063435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8824329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1023187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1584204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641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7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408866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kon5.rada.gov.ua/laws/show/567-2013-%D0%BF/paran10" TargetMode="External"/><Relationship Id="rId13" Type="http://schemas.openxmlformats.org/officeDocument/2006/relationships/image" Target="media/image4.wmf"/><Relationship Id="rId3" Type="http://schemas.openxmlformats.org/officeDocument/2006/relationships/settings" Target="settings.xml"/><Relationship Id="rId7" Type="http://schemas.openxmlformats.org/officeDocument/2006/relationships/hyperlink" Target="http://zakon5.rada.gov.ua/laws/show/z0312-09" TargetMode="External"/><Relationship Id="rId12" Type="http://schemas.openxmlformats.org/officeDocument/2006/relationships/control" Target="activeX/activeX1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zakon5.rada.gov.ua/laws/show/z0312-09" TargetMode="External"/><Relationship Id="rId11" Type="http://schemas.openxmlformats.org/officeDocument/2006/relationships/image" Target="media/image3.wmf"/><Relationship Id="rId5" Type="http://schemas.openxmlformats.org/officeDocument/2006/relationships/image" Target="media/image1.gif"/><Relationship Id="rId15" Type="http://schemas.openxmlformats.org/officeDocument/2006/relationships/fontTable" Target="fontTable.xml"/><Relationship Id="rId10" Type="http://schemas.openxmlformats.org/officeDocument/2006/relationships/image" Target="media/image2.gif"/><Relationship Id="rId4" Type="http://schemas.openxmlformats.org/officeDocument/2006/relationships/webSettings" Target="webSettings.xml"/><Relationship Id="rId9" Type="http://schemas.openxmlformats.org/officeDocument/2006/relationships/hyperlink" Target="http://zakon5.rada.gov.ua/laws/show/755-15" TargetMode="External"/><Relationship Id="rId14" Type="http://schemas.openxmlformats.org/officeDocument/2006/relationships/control" Target="activeX/activeX2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2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1201</Words>
  <Characters>6847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2017-09-22T11:07:00Z</dcterms:created>
  <dcterms:modified xsi:type="dcterms:W3CDTF">2017-09-22T11:08:00Z</dcterms:modified>
</cp:coreProperties>
</file>