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5E" w:rsidRDefault="0071765E">
      <w:pPr>
        <w:pStyle w:val="a3"/>
        <w:spacing w:before="3"/>
        <w:ind w:left="0" w:right="0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6380"/>
      </w:tblGrid>
      <w:tr w:rsidR="0071765E">
        <w:trPr>
          <w:trHeight w:val="727"/>
        </w:trPr>
        <w:tc>
          <w:tcPr>
            <w:tcW w:w="3826" w:type="dxa"/>
          </w:tcPr>
          <w:p w:rsidR="0071765E" w:rsidRDefault="002B58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дисципліни</w:t>
            </w:r>
          </w:p>
        </w:tc>
        <w:tc>
          <w:tcPr>
            <w:tcW w:w="6380" w:type="dxa"/>
          </w:tcPr>
          <w:p w:rsidR="0071765E" w:rsidRDefault="002B58EC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Організація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анімаційної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дозвілля</w:t>
            </w:r>
          </w:p>
          <w:p w:rsidR="0071765E" w:rsidRDefault="002B58EC">
            <w:pPr>
              <w:pStyle w:val="TableParagraph"/>
              <w:spacing w:before="48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 </w:t>
            </w:r>
            <w:r>
              <w:rPr>
                <w:b/>
                <w:spacing w:val="-5"/>
                <w:sz w:val="28"/>
              </w:rPr>
              <w:t>ГРС</w:t>
            </w:r>
          </w:p>
        </w:tc>
      </w:tr>
      <w:tr w:rsidR="0071765E">
        <w:trPr>
          <w:trHeight w:val="360"/>
        </w:trPr>
        <w:tc>
          <w:tcPr>
            <w:tcW w:w="3826" w:type="dxa"/>
          </w:tcPr>
          <w:p w:rsidR="0071765E" w:rsidRDefault="002B58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6380" w:type="dxa"/>
          </w:tcPr>
          <w:p w:rsidR="0071765E" w:rsidRDefault="002B58EC">
            <w:pPr>
              <w:pStyle w:val="TableParagraph"/>
              <w:ind w:left="78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</w:p>
        </w:tc>
      </w:tr>
      <w:tr w:rsidR="0071765E">
        <w:trPr>
          <w:trHeight w:val="357"/>
        </w:trPr>
        <w:tc>
          <w:tcPr>
            <w:tcW w:w="3826" w:type="dxa"/>
          </w:tcPr>
          <w:p w:rsidR="0071765E" w:rsidRDefault="002B58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6380" w:type="dxa"/>
          </w:tcPr>
          <w:p w:rsidR="0071765E" w:rsidRDefault="002B58EC">
            <w:pPr>
              <w:pStyle w:val="TableParagraph"/>
              <w:ind w:left="150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</w:tr>
      <w:tr w:rsidR="0071765E">
        <w:trPr>
          <w:trHeight w:val="360"/>
        </w:trPr>
        <w:tc>
          <w:tcPr>
            <w:tcW w:w="3826" w:type="dxa"/>
          </w:tcPr>
          <w:p w:rsidR="0071765E" w:rsidRDefault="002B58E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6380" w:type="dxa"/>
          </w:tcPr>
          <w:p w:rsidR="0071765E" w:rsidRDefault="002B58EC">
            <w:pPr>
              <w:pStyle w:val="TableParagraph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осінній</w:t>
            </w:r>
          </w:p>
        </w:tc>
      </w:tr>
      <w:tr w:rsidR="0071765E">
        <w:trPr>
          <w:trHeight w:val="357"/>
        </w:trPr>
        <w:tc>
          <w:tcPr>
            <w:tcW w:w="3826" w:type="dxa"/>
          </w:tcPr>
          <w:p w:rsidR="0071765E" w:rsidRDefault="002B58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кредитах</w:t>
            </w:r>
          </w:p>
        </w:tc>
        <w:tc>
          <w:tcPr>
            <w:tcW w:w="6380" w:type="dxa"/>
          </w:tcPr>
          <w:p w:rsidR="0071765E" w:rsidRDefault="002B58EC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ЄКТС</w:t>
            </w:r>
          </w:p>
        </w:tc>
      </w:tr>
      <w:tr w:rsidR="0071765E">
        <w:trPr>
          <w:trHeight w:val="360"/>
        </w:trPr>
        <w:tc>
          <w:tcPr>
            <w:tcW w:w="3826" w:type="dxa"/>
          </w:tcPr>
          <w:p w:rsidR="0071765E" w:rsidRDefault="002B58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викладання</w:t>
            </w:r>
          </w:p>
        </w:tc>
        <w:tc>
          <w:tcPr>
            <w:tcW w:w="6380" w:type="dxa"/>
          </w:tcPr>
          <w:p w:rsidR="0071765E" w:rsidRDefault="002B58EC">
            <w:pPr>
              <w:pStyle w:val="TableParagraph"/>
              <w:ind w:left="78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71765E">
        <w:trPr>
          <w:trHeight w:val="2590"/>
        </w:trPr>
        <w:tc>
          <w:tcPr>
            <w:tcW w:w="3826" w:type="dxa"/>
          </w:tcPr>
          <w:p w:rsidR="0071765E" w:rsidRDefault="002B58EC">
            <w:pPr>
              <w:pStyle w:val="TableParagraph"/>
              <w:spacing w:line="276" w:lineRule="auto"/>
              <w:ind w:right="1111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380" w:type="dxa"/>
          </w:tcPr>
          <w:p w:rsidR="0071765E" w:rsidRDefault="002B58EC">
            <w:pPr>
              <w:pStyle w:val="TableParagraph"/>
              <w:spacing w:line="276" w:lineRule="auto"/>
              <w:ind w:left="150" w:right="65"/>
              <w:rPr>
                <w:sz w:val="28"/>
              </w:rPr>
            </w:pPr>
            <w:r>
              <w:rPr>
                <w:sz w:val="28"/>
              </w:rPr>
              <w:t>Ефективність засвоєння даної освітньої компоненти підвищує попереднє вивчення таких навчальних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дисциплін: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«Вступ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спеціальності»,</w:t>
            </w:r>
          </w:p>
          <w:p w:rsidR="0071765E" w:rsidRDefault="002B58EC">
            <w:pPr>
              <w:pStyle w:val="TableParagraph"/>
              <w:spacing w:line="276" w:lineRule="auto"/>
              <w:ind w:left="150"/>
              <w:rPr>
                <w:sz w:val="28"/>
              </w:rPr>
            </w:pPr>
            <w:r>
              <w:rPr>
                <w:sz w:val="28"/>
              </w:rPr>
              <w:t>«Готельна індустрія України», «Міжнародна готельна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індустрія»,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рекреаційних послуг» тощо.</w:t>
            </w:r>
          </w:p>
        </w:tc>
      </w:tr>
      <w:tr w:rsidR="0071765E">
        <w:trPr>
          <w:trHeight w:val="1468"/>
        </w:trPr>
        <w:tc>
          <w:tcPr>
            <w:tcW w:w="3826" w:type="dxa"/>
          </w:tcPr>
          <w:p w:rsidR="0071765E" w:rsidRDefault="002B58EC">
            <w:pPr>
              <w:pStyle w:val="TableParagraph"/>
              <w:spacing w:line="276" w:lineRule="auto"/>
              <w:ind w:right="1111"/>
              <w:rPr>
                <w:sz w:val="28"/>
              </w:rPr>
            </w:pPr>
            <w:r>
              <w:rPr>
                <w:sz w:val="28"/>
              </w:rPr>
              <w:t xml:space="preserve">Кафедра, яка </w:t>
            </w:r>
            <w:r>
              <w:rPr>
                <w:spacing w:val="-2"/>
                <w:sz w:val="28"/>
              </w:rPr>
              <w:t xml:space="preserve">забезпечує </w:t>
            </w:r>
            <w:r>
              <w:rPr>
                <w:sz w:val="28"/>
              </w:rPr>
              <w:t>викладання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</w:p>
          <w:p w:rsidR="0071765E" w:rsidRDefault="002B58E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компоненти</w:t>
            </w:r>
          </w:p>
        </w:tc>
        <w:tc>
          <w:tcPr>
            <w:tcW w:w="6380" w:type="dxa"/>
          </w:tcPr>
          <w:p w:rsidR="0071765E" w:rsidRDefault="002B58EC">
            <w:pPr>
              <w:pStyle w:val="TableParagraph"/>
              <w:spacing w:line="276" w:lineRule="auto"/>
              <w:ind w:left="150" w:firstLine="70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готельно-</w:t>
            </w:r>
            <w:proofErr w:type="spellEnd"/>
            <w:r>
              <w:rPr>
                <w:sz w:val="28"/>
              </w:rPr>
              <w:t xml:space="preserve"> ресторанного господарства</w:t>
            </w:r>
          </w:p>
        </w:tc>
      </w:tr>
      <w:tr w:rsidR="0071765E">
        <w:trPr>
          <w:trHeight w:val="1856"/>
        </w:trPr>
        <w:tc>
          <w:tcPr>
            <w:tcW w:w="3826" w:type="dxa"/>
          </w:tcPr>
          <w:p w:rsidR="0071765E" w:rsidRDefault="002B58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забезпечення</w:t>
            </w:r>
          </w:p>
        </w:tc>
        <w:tc>
          <w:tcPr>
            <w:tcW w:w="6380" w:type="dxa"/>
          </w:tcPr>
          <w:p w:rsidR="0071765E" w:rsidRDefault="002B58EC">
            <w:pPr>
              <w:pStyle w:val="TableParagraph"/>
              <w:spacing w:line="276" w:lineRule="auto"/>
              <w:ind w:left="15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навчання: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мультимедійне обладнання, ноутбук.</w:t>
            </w:r>
          </w:p>
          <w:p w:rsidR="0071765E" w:rsidRDefault="002B58EC">
            <w:pPr>
              <w:pStyle w:val="TableParagraph"/>
              <w:spacing w:before="4" w:line="276" w:lineRule="auto"/>
              <w:ind w:left="150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електронного навчання «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71765E">
        <w:trPr>
          <w:trHeight w:val="730"/>
        </w:trPr>
        <w:tc>
          <w:tcPr>
            <w:tcW w:w="3826" w:type="dxa"/>
          </w:tcPr>
          <w:p w:rsidR="0071765E" w:rsidRDefault="002B58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занять</w:t>
            </w:r>
          </w:p>
        </w:tc>
        <w:tc>
          <w:tcPr>
            <w:tcW w:w="6380" w:type="dxa"/>
          </w:tcPr>
          <w:p w:rsidR="0071765E" w:rsidRDefault="002B58EC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71765E" w:rsidRDefault="002B58EC">
            <w:pPr>
              <w:pStyle w:val="TableParagraph"/>
              <w:spacing w:before="48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очно/дистанційно</w:t>
            </w:r>
          </w:p>
        </w:tc>
      </w:tr>
      <w:tr w:rsidR="0071765E">
        <w:trPr>
          <w:trHeight w:val="727"/>
        </w:trPr>
        <w:tc>
          <w:tcPr>
            <w:tcW w:w="3826" w:type="dxa"/>
          </w:tcPr>
          <w:p w:rsidR="0071765E" w:rsidRDefault="002B58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семестрового</w:t>
            </w:r>
          </w:p>
          <w:p w:rsidR="0071765E" w:rsidRDefault="002B58EC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контролю*</w:t>
            </w:r>
          </w:p>
        </w:tc>
        <w:tc>
          <w:tcPr>
            <w:tcW w:w="6380" w:type="dxa"/>
          </w:tcPr>
          <w:p w:rsidR="0071765E" w:rsidRDefault="002B58EC">
            <w:pPr>
              <w:pStyle w:val="TableParagraph"/>
              <w:ind w:left="83"/>
              <w:rPr>
                <w:sz w:val="28"/>
              </w:rPr>
            </w:pPr>
            <w:r>
              <w:rPr>
                <w:spacing w:val="-4"/>
                <w:sz w:val="28"/>
              </w:rPr>
              <w:t>Залік</w:t>
            </w:r>
          </w:p>
        </w:tc>
      </w:tr>
    </w:tbl>
    <w:p w:rsidR="0071765E" w:rsidRDefault="002B58EC">
      <w:pPr>
        <w:pStyle w:val="1"/>
        <w:spacing w:before="295"/>
        <w:ind w:left="632"/>
        <w:jc w:val="both"/>
      </w:pPr>
      <w:r>
        <w:t>Ключові</w:t>
      </w:r>
      <w:r>
        <w:rPr>
          <w:spacing w:val="-6"/>
        </w:rPr>
        <w:t xml:space="preserve"> </w:t>
      </w:r>
      <w:r>
        <w:t>результати</w:t>
      </w:r>
      <w:r>
        <w:rPr>
          <w:spacing w:val="-6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(знання,</w:t>
      </w:r>
      <w:r>
        <w:rPr>
          <w:spacing w:val="-4"/>
        </w:rPr>
        <w:t xml:space="preserve"> </w:t>
      </w:r>
      <w:r>
        <w:t>уміння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інші</w:t>
      </w:r>
      <w:r>
        <w:rPr>
          <w:spacing w:val="-3"/>
        </w:rPr>
        <w:t xml:space="preserve"> </w:t>
      </w:r>
      <w:r>
        <w:rPr>
          <w:spacing w:val="-2"/>
        </w:rPr>
        <w:t>компетентності):</w:t>
      </w:r>
    </w:p>
    <w:p w:rsidR="0071765E" w:rsidRDefault="002B58EC" w:rsidP="00C33D06">
      <w:pPr>
        <w:pStyle w:val="a3"/>
        <w:spacing w:before="48" w:line="276" w:lineRule="auto"/>
        <w:ind w:right="434" w:firstLine="708"/>
        <w:jc w:val="both"/>
      </w:pPr>
      <w:bookmarkStart w:id="0" w:name="_GoBack"/>
      <w:r>
        <w:t>Відповідно до освітньої програми, вивченн</w:t>
      </w:r>
      <w:r w:rsidR="005174C5">
        <w:t xml:space="preserve">я </w:t>
      </w:r>
      <w:proofErr w:type="spellStart"/>
      <w:r w:rsidR="00EE1226">
        <w:rPr>
          <w:lang w:val="ru-RU"/>
        </w:rPr>
        <w:t>освітньої</w:t>
      </w:r>
      <w:proofErr w:type="spellEnd"/>
      <w:r w:rsidR="00EE1226">
        <w:rPr>
          <w:lang w:val="ru-RU"/>
        </w:rPr>
        <w:t xml:space="preserve"> </w:t>
      </w:r>
      <w:proofErr w:type="spellStart"/>
      <w:r w:rsidR="00EE1226">
        <w:rPr>
          <w:lang w:val="ru-RU"/>
        </w:rPr>
        <w:t>компоненти</w:t>
      </w:r>
      <w:proofErr w:type="spellEnd"/>
      <w:r w:rsidR="00EE1226">
        <w:rPr>
          <w:lang w:val="ru-RU"/>
        </w:rPr>
        <w:t xml:space="preserve"> </w:t>
      </w:r>
      <w:r w:rsidR="005174C5">
        <w:t xml:space="preserve">сприяє формуванню </w:t>
      </w:r>
      <w:r w:rsidR="005174C5">
        <w:rPr>
          <w:lang w:val="ru-RU"/>
        </w:rPr>
        <w:t>у</w:t>
      </w:r>
      <w:r>
        <w:t xml:space="preserve"> </w:t>
      </w:r>
      <w:proofErr w:type="spellStart"/>
      <w:r w:rsidR="00EE1226">
        <w:rPr>
          <w:lang w:val="ru-RU"/>
        </w:rPr>
        <w:t>здобувачів</w:t>
      </w:r>
      <w:proofErr w:type="spellEnd"/>
      <w:r w:rsidR="00EE1226">
        <w:rPr>
          <w:lang w:val="ru-RU"/>
        </w:rPr>
        <w:t xml:space="preserve"> </w:t>
      </w:r>
      <w:r w:rsidR="00EE1226">
        <w:t xml:space="preserve">вищої освіти </w:t>
      </w:r>
      <w:proofErr w:type="spellStart"/>
      <w:r w:rsidR="00EE1226">
        <w:rPr>
          <w:lang w:val="ru-RU"/>
        </w:rPr>
        <w:t>наступних</w:t>
      </w:r>
      <w:proofErr w:type="spellEnd"/>
      <w:r>
        <w:t xml:space="preserve"> </w:t>
      </w:r>
      <w:proofErr w:type="spellStart"/>
      <w:r>
        <w:rPr>
          <w:b/>
        </w:rPr>
        <w:t>компетентностей</w:t>
      </w:r>
      <w:proofErr w:type="spellEnd"/>
      <w:r>
        <w:t>:</w:t>
      </w:r>
    </w:p>
    <w:bookmarkEnd w:id="0"/>
    <w:p w:rsidR="0071765E" w:rsidRDefault="002B58EC" w:rsidP="00C33D06">
      <w:pPr>
        <w:pStyle w:val="a3"/>
        <w:spacing w:line="276" w:lineRule="auto"/>
        <w:ind w:firstLine="292"/>
        <w:jc w:val="both"/>
      </w:pPr>
      <w:r w:rsidRPr="00C33D06">
        <w:rPr>
          <w:b/>
        </w:rPr>
        <w:t>ЗК 01.</w:t>
      </w:r>
      <w:r>
        <w:t xml:space="preserve"> </w:t>
      </w:r>
      <w:r w:rsidR="00C33D06" w:rsidRPr="00C33D06">
        <w:t>Здатність зберігати та примножувати моральні, культурні, наукові цінності і досягнення суспільства на основі розуміння сутності та принципів розвитку суспільства, природи і мислення та закономірностей розвитку предметної області, її місця у загальній системі знань, вести здоровий спосіб життя</w:t>
      </w:r>
      <w:r>
        <w:rPr>
          <w:spacing w:val="-2"/>
        </w:rPr>
        <w:t>.</w:t>
      </w:r>
    </w:p>
    <w:p w:rsidR="00C33D06" w:rsidRDefault="002B58EC" w:rsidP="00C33D06">
      <w:pPr>
        <w:pStyle w:val="a3"/>
        <w:spacing w:line="276" w:lineRule="auto"/>
        <w:ind w:firstLine="292"/>
        <w:jc w:val="both"/>
        <w:rPr>
          <w:lang w:val="ru-RU"/>
        </w:rPr>
      </w:pPr>
      <w:r w:rsidRPr="00C33D06">
        <w:rPr>
          <w:b/>
        </w:rPr>
        <w:t>ЗК</w:t>
      </w:r>
      <w:r w:rsidRPr="00C33D06">
        <w:rPr>
          <w:b/>
          <w:spacing w:val="-5"/>
        </w:rPr>
        <w:t xml:space="preserve"> </w:t>
      </w:r>
      <w:r w:rsidR="00C33D06">
        <w:rPr>
          <w:b/>
        </w:rPr>
        <w:t>1</w:t>
      </w:r>
      <w:r w:rsidR="00C33D06">
        <w:rPr>
          <w:b/>
          <w:lang w:val="ru-RU"/>
        </w:rPr>
        <w:t>0</w:t>
      </w:r>
      <w:r w:rsidRPr="00C33D06">
        <w:rPr>
          <w:b/>
        </w:rPr>
        <w:t>.</w:t>
      </w:r>
      <w:r>
        <w:rPr>
          <w:spacing w:val="-4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креативного</w:t>
      </w:r>
      <w:r>
        <w:rPr>
          <w:spacing w:val="-4"/>
        </w:rPr>
        <w:t xml:space="preserve"> </w:t>
      </w:r>
      <w:r>
        <w:t>генерування</w:t>
      </w:r>
      <w:r>
        <w:rPr>
          <w:spacing w:val="-5"/>
        </w:rPr>
        <w:t xml:space="preserve"> </w:t>
      </w:r>
      <w:r>
        <w:t>ідей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адаптації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ефективної діяльності у невизначених ситуаціях.</w:t>
      </w:r>
    </w:p>
    <w:p w:rsidR="00C33D06" w:rsidRDefault="002B58EC" w:rsidP="00C33D06">
      <w:pPr>
        <w:pStyle w:val="a3"/>
        <w:spacing w:line="276" w:lineRule="auto"/>
        <w:ind w:firstLine="292"/>
        <w:jc w:val="both"/>
        <w:rPr>
          <w:lang w:val="ru-RU"/>
        </w:rPr>
      </w:pPr>
      <w:r w:rsidRPr="00C33D06">
        <w:rPr>
          <w:b/>
        </w:rPr>
        <w:t>СК</w:t>
      </w:r>
      <w:r w:rsidRPr="00C33D06">
        <w:rPr>
          <w:b/>
          <w:spacing w:val="-6"/>
        </w:rPr>
        <w:t xml:space="preserve"> </w:t>
      </w:r>
      <w:r w:rsidR="00C33D06" w:rsidRPr="00C33D06">
        <w:rPr>
          <w:b/>
        </w:rPr>
        <w:t>02.</w:t>
      </w:r>
      <w:r w:rsidR="00C33D06" w:rsidRPr="00C33D06">
        <w:t xml:space="preserve"> Здатність організовувати ефективний виробничо-сервісний процес відповідно до тенденцій на ринку гостинності і потреб цільової аудиторії споживачів.</w:t>
      </w:r>
    </w:p>
    <w:p w:rsidR="00C33D06" w:rsidRPr="00C33D06" w:rsidRDefault="002B58EC" w:rsidP="00C33D06">
      <w:pPr>
        <w:pStyle w:val="a3"/>
        <w:spacing w:line="276" w:lineRule="auto"/>
        <w:ind w:firstLine="292"/>
        <w:jc w:val="both"/>
      </w:pPr>
      <w:r w:rsidRPr="00C33D06">
        <w:rPr>
          <w:b/>
        </w:rPr>
        <w:t>СК</w:t>
      </w:r>
      <w:r w:rsidRPr="00C33D06">
        <w:rPr>
          <w:b/>
          <w:spacing w:val="-5"/>
        </w:rPr>
        <w:t xml:space="preserve"> </w:t>
      </w:r>
      <w:r w:rsidR="00C33D06" w:rsidRPr="00C33D06">
        <w:rPr>
          <w:b/>
        </w:rPr>
        <w:t>06.</w:t>
      </w:r>
      <w:r w:rsidR="00C33D06" w:rsidRPr="00C33D06">
        <w:t xml:space="preserve"> Здатність проектувати технологічний процес виробництва продукції і </w:t>
      </w:r>
      <w:r w:rsidR="00C33D06" w:rsidRPr="00C33D06">
        <w:lastRenderedPageBreak/>
        <w:t>послуг, а також сервісний процес реалізації основних і додаткових послуг з урахуванням сучасних стандартів якості, специфіки цільової аудиторії, технічного забезпечення та ресурсних можливостей підприємств готельно-ресторанного та рекр</w:t>
      </w:r>
      <w:r w:rsidR="00C33D06">
        <w:t>еаційного господарства</w:t>
      </w:r>
      <w:r>
        <w:t>.</w:t>
      </w:r>
    </w:p>
    <w:p w:rsidR="00313615" w:rsidRPr="00313615" w:rsidRDefault="00313615" w:rsidP="00C33D06">
      <w:pPr>
        <w:pStyle w:val="a3"/>
        <w:spacing w:line="276" w:lineRule="auto"/>
        <w:ind w:firstLine="292"/>
        <w:jc w:val="both"/>
      </w:pPr>
      <w:r w:rsidRPr="00313615">
        <w:rPr>
          <w:b/>
        </w:rPr>
        <w:t xml:space="preserve">ПР 04. </w:t>
      </w:r>
      <w:r w:rsidRPr="00313615">
        <w:t>Здатність аналізувати сучасні тенденції розвитку індустрії гостинності та рекреаційного господарства, визначати ключові фактори, що впливають на їх розвиток, і прогнозувати зміни в умовах ринку для забезпечення конкурентоспроможності підприємств.</w:t>
      </w:r>
    </w:p>
    <w:p w:rsidR="00C33D06" w:rsidRPr="00424777" w:rsidRDefault="00C33D06" w:rsidP="00C33D06">
      <w:pPr>
        <w:pStyle w:val="a3"/>
        <w:spacing w:line="276" w:lineRule="auto"/>
        <w:ind w:firstLine="292"/>
        <w:jc w:val="both"/>
      </w:pPr>
      <w:r w:rsidRPr="00C33D06">
        <w:rPr>
          <w:b/>
        </w:rPr>
        <w:t>ПР 07.</w:t>
      </w:r>
      <w:r w:rsidRPr="00C33D06">
        <w:t xml:space="preserve"> Організовувати процес обслуговування споживачів готельних та ресторанних послуг, використовуючи сучасні інформаційні, комунікаційні та сервісні технології, а також забезпечувати дотримання стандартів якості та норм безпеки з метою підвищення рівня задоволеності клієнтів та оптимізації операційних процесів.</w:t>
      </w:r>
    </w:p>
    <w:p w:rsidR="00313615" w:rsidRPr="00424777" w:rsidRDefault="00313615" w:rsidP="00313615">
      <w:pPr>
        <w:pStyle w:val="a3"/>
        <w:spacing w:line="276" w:lineRule="auto"/>
        <w:ind w:firstLine="292"/>
        <w:jc w:val="both"/>
      </w:pPr>
      <w:r w:rsidRPr="00313615">
        <w:rPr>
          <w:b/>
        </w:rPr>
        <w:t>ПР 08.</w:t>
      </w:r>
      <w:r w:rsidRPr="00313615">
        <w:t xml:space="preserve"> Застосовувати навички ефективного спілкування з клієнтами готельних та ресторанних послуг, враховуючи індивідуальні потреби та побажання, для забезпечення високого рівня обслуговування, створення позитивного досвіду та формування лояльності споживачів.</w:t>
      </w:r>
    </w:p>
    <w:p w:rsidR="0071765E" w:rsidRDefault="002B58EC" w:rsidP="00313615">
      <w:pPr>
        <w:pStyle w:val="a3"/>
        <w:spacing w:line="276" w:lineRule="auto"/>
        <w:ind w:firstLine="292"/>
        <w:jc w:val="both"/>
      </w:pPr>
      <w:r>
        <w:t>Короткий</w:t>
      </w:r>
      <w:r>
        <w:rPr>
          <w:spacing w:val="-6"/>
        </w:rPr>
        <w:t xml:space="preserve"> </w:t>
      </w:r>
      <w:r>
        <w:t>зміст</w:t>
      </w:r>
      <w:r>
        <w:rPr>
          <w:spacing w:val="-6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(що</w:t>
      </w:r>
      <w:r>
        <w:rPr>
          <w:spacing w:val="-3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>вивчатися,</w:t>
      </w:r>
      <w:r>
        <w:rPr>
          <w:spacing w:val="-4"/>
        </w:rPr>
        <w:t xml:space="preserve"> </w:t>
      </w:r>
      <w:r>
        <w:t>перелік</w:t>
      </w:r>
      <w:r>
        <w:rPr>
          <w:spacing w:val="-3"/>
        </w:rPr>
        <w:t xml:space="preserve"> </w:t>
      </w:r>
      <w:r>
        <w:rPr>
          <w:spacing w:val="-2"/>
        </w:rPr>
        <w:t>тем):</w:t>
      </w:r>
    </w:p>
    <w:p w:rsidR="0071765E" w:rsidRDefault="002B58EC" w:rsidP="00C33D06">
      <w:pPr>
        <w:pStyle w:val="a3"/>
        <w:spacing w:before="45" w:line="276" w:lineRule="auto"/>
        <w:ind w:right="2103"/>
        <w:jc w:val="both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Теоретичні</w:t>
      </w:r>
      <w:r>
        <w:rPr>
          <w:spacing w:val="-6"/>
        </w:rPr>
        <w:t xml:space="preserve"> </w:t>
      </w:r>
      <w:r>
        <w:t>основи</w:t>
      </w:r>
      <w:r>
        <w:rPr>
          <w:spacing w:val="-7"/>
        </w:rPr>
        <w:t xml:space="preserve"> </w:t>
      </w:r>
      <w:r>
        <w:t>дозвілля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анімаційної</w:t>
      </w:r>
      <w:r>
        <w:rPr>
          <w:spacing w:val="-6"/>
        </w:rPr>
        <w:t xml:space="preserve"> </w:t>
      </w:r>
      <w:r>
        <w:t>діяльності. Тема 2. Історія розвитку дозвілля та анімаційної діяльності.</w:t>
      </w:r>
    </w:p>
    <w:p w:rsidR="0071765E" w:rsidRDefault="002B58EC" w:rsidP="00C33D06">
      <w:pPr>
        <w:pStyle w:val="a3"/>
        <w:spacing w:line="276" w:lineRule="auto"/>
        <w:jc w:val="both"/>
      </w:pPr>
      <w:r>
        <w:t>Тема</w:t>
      </w:r>
      <w:r>
        <w:rPr>
          <w:spacing w:val="-8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Соціально-психологічні</w:t>
      </w:r>
      <w:r>
        <w:rPr>
          <w:spacing w:val="-7"/>
        </w:rPr>
        <w:t xml:space="preserve"> </w:t>
      </w:r>
      <w:r>
        <w:t>аспекти</w:t>
      </w:r>
      <w:r>
        <w:rPr>
          <w:spacing w:val="-8"/>
        </w:rPr>
        <w:t xml:space="preserve"> </w:t>
      </w:r>
      <w:r>
        <w:t>анімаційного</w:t>
      </w:r>
      <w:r>
        <w:rPr>
          <w:spacing w:val="-7"/>
        </w:rPr>
        <w:t xml:space="preserve"> </w:t>
      </w:r>
      <w:r>
        <w:t>обслуговування</w:t>
      </w:r>
      <w:r>
        <w:rPr>
          <w:spacing w:val="-7"/>
        </w:rPr>
        <w:t xml:space="preserve"> </w:t>
      </w:r>
      <w:r>
        <w:t>клієнтів. Тема 4. Значення та особливості готельної анімації.</w:t>
      </w:r>
    </w:p>
    <w:p w:rsidR="0071765E" w:rsidRDefault="002B58EC" w:rsidP="00C33D06">
      <w:pPr>
        <w:pStyle w:val="a3"/>
        <w:spacing w:line="321" w:lineRule="exact"/>
        <w:ind w:right="0"/>
        <w:jc w:val="both"/>
      </w:pPr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Культурно-пізнавальні</w:t>
      </w:r>
      <w:r>
        <w:rPr>
          <w:spacing w:val="-5"/>
        </w:rPr>
        <w:t xml:space="preserve"> </w:t>
      </w:r>
      <w:r>
        <w:t>анімаційні</w:t>
      </w:r>
      <w:r>
        <w:rPr>
          <w:spacing w:val="-4"/>
        </w:rPr>
        <w:t xml:space="preserve"> </w:t>
      </w:r>
      <w:r>
        <w:t>послуги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програми.</w:t>
      </w:r>
    </w:p>
    <w:p w:rsidR="0071765E" w:rsidRDefault="002B58EC" w:rsidP="00C33D06">
      <w:pPr>
        <w:pStyle w:val="a3"/>
        <w:spacing w:before="47" w:line="276" w:lineRule="auto"/>
        <w:jc w:val="both"/>
      </w:pPr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Видовищно-розважальні</w:t>
      </w:r>
      <w:r>
        <w:rPr>
          <w:spacing w:val="-6"/>
        </w:rPr>
        <w:t xml:space="preserve"> </w:t>
      </w:r>
      <w:r>
        <w:t>анімаційні</w:t>
      </w:r>
      <w:r>
        <w:rPr>
          <w:spacing w:val="-8"/>
        </w:rPr>
        <w:t xml:space="preserve"> </w:t>
      </w:r>
      <w:r>
        <w:t>послуги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програми.</w:t>
      </w:r>
      <w:r>
        <w:rPr>
          <w:spacing w:val="-6"/>
        </w:rPr>
        <w:t xml:space="preserve"> </w:t>
      </w:r>
      <w:proofErr w:type="spellStart"/>
      <w:r>
        <w:t>Шоу-</w:t>
      </w:r>
      <w:proofErr w:type="spellEnd"/>
      <w:r>
        <w:t xml:space="preserve"> </w:t>
      </w:r>
      <w:r>
        <w:rPr>
          <w:spacing w:val="-2"/>
        </w:rPr>
        <w:t>анімація.</w:t>
      </w:r>
    </w:p>
    <w:p w:rsidR="0071765E" w:rsidRDefault="002B58EC" w:rsidP="00C33D06">
      <w:pPr>
        <w:pStyle w:val="a3"/>
        <w:spacing w:line="276" w:lineRule="auto"/>
        <w:ind w:right="3386"/>
        <w:jc w:val="both"/>
      </w:pPr>
      <w:r>
        <w:t>Тема</w:t>
      </w:r>
      <w:r>
        <w:rPr>
          <w:spacing w:val="-7"/>
        </w:rPr>
        <w:t xml:space="preserve"> </w:t>
      </w:r>
      <w:r>
        <w:t>7.</w:t>
      </w:r>
      <w:r>
        <w:rPr>
          <w:spacing w:val="-7"/>
        </w:rPr>
        <w:t xml:space="preserve"> </w:t>
      </w:r>
      <w:r>
        <w:t>Спортивні</w:t>
      </w:r>
      <w:r>
        <w:rPr>
          <w:spacing w:val="-7"/>
        </w:rPr>
        <w:t xml:space="preserve"> </w:t>
      </w:r>
      <w:r>
        <w:t>анімаційні</w:t>
      </w:r>
      <w:r>
        <w:rPr>
          <w:spacing w:val="-7"/>
        </w:rPr>
        <w:t xml:space="preserve"> </w:t>
      </w:r>
      <w:r>
        <w:t>послуги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програми. Тема 8. Анімаційний готельний менеджмент.</w:t>
      </w:r>
    </w:p>
    <w:p w:rsidR="0071765E" w:rsidRDefault="002B58EC" w:rsidP="00C33D06">
      <w:pPr>
        <w:pStyle w:val="a3"/>
        <w:spacing w:line="276" w:lineRule="auto"/>
        <w:ind w:right="1237"/>
        <w:jc w:val="both"/>
      </w:pPr>
      <w:r>
        <w:t>Тема 9. Особливості кадрового забезпечення анімаційної діяльності.</w:t>
      </w:r>
      <w:r>
        <w:rPr>
          <w:spacing w:val="40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Особливості</w:t>
      </w:r>
      <w:r>
        <w:rPr>
          <w:spacing w:val="-4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анімаційної</w:t>
      </w:r>
      <w:r>
        <w:rPr>
          <w:spacing w:val="-6"/>
        </w:rPr>
        <w:t xml:space="preserve"> </w:t>
      </w:r>
      <w:r>
        <w:t>служби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готелях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 xml:space="preserve">туристичних </w:t>
      </w:r>
      <w:r>
        <w:rPr>
          <w:spacing w:val="-2"/>
        </w:rPr>
        <w:t>комплексах</w:t>
      </w:r>
    </w:p>
    <w:p w:rsidR="0071765E" w:rsidRDefault="002B58EC" w:rsidP="00C33D06">
      <w:pPr>
        <w:pStyle w:val="a3"/>
        <w:spacing w:line="276" w:lineRule="auto"/>
        <w:ind w:right="1473"/>
        <w:jc w:val="both"/>
      </w:pPr>
      <w:r>
        <w:t>Тема 11. Технологія розробки та просування анімаційних програм. Тема</w:t>
      </w:r>
      <w:r>
        <w:rPr>
          <w:spacing w:val="-7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Особливості</w:t>
      </w:r>
      <w:r>
        <w:rPr>
          <w:spacing w:val="-6"/>
        </w:rPr>
        <w:t xml:space="preserve"> </w:t>
      </w:r>
      <w:r>
        <w:t>анімаційної</w:t>
      </w:r>
      <w:r>
        <w:rPr>
          <w:spacing w:val="-6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закладах</w:t>
      </w:r>
      <w:r>
        <w:rPr>
          <w:spacing w:val="-6"/>
        </w:rPr>
        <w:t xml:space="preserve"> </w:t>
      </w:r>
      <w:r>
        <w:t xml:space="preserve">ресторанного </w:t>
      </w:r>
      <w:r>
        <w:rPr>
          <w:spacing w:val="-2"/>
        </w:rPr>
        <w:t>господарства.</w:t>
      </w:r>
    </w:p>
    <w:p w:rsidR="0071765E" w:rsidRDefault="002B58EC" w:rsidP="00C33D06">
      <w:pPr>
        <w:pStyle w:val="a3"/>
        <w:spacing w:line="321" w:lineRule="exact"/>
        <w:ind w:right="0"/>
        <w:jc w:val="both"/>
      </w:pPr>
      <w:r>
        <w:t>Тема</w:t>
      </w:r>
      <w:r>
        <w:rPr>
          <w:spacing w:val="-8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Специфіка</w:t>
      </w:r>
      <w:r>
        <w:rPr>
          <w:spacing w:val="-6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дитячого</w:t>
      </w:r>
      <w:r>
        <w:rPr>
          <w:spacing w:val="-5"/>
        </w:rPr>
        <w:t xml:space="preserve"> </w:t>
      </w:r>
      <w:r>
        <w:t>дозвілля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готельно-ресторанній</w:t>
      </w:r>
      <w:r>
        <w:rPr>
          <w:spacing w:val="-5"/>
        </w:rPr>
        <w:t xml:space="preserve"> </w:t>
      </w:r>
      <w:r>
        <w:rPr>
          <w:spacing w:val="-2"/>
        </w:rPr>
        <w:t>сфері.</w:t>
      </w:r>
    </w:p>
    <w:sectPr w:rsidR="0071765E" w:rsidSect="00C33D06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1765E"/>
    <w:rsid w:val="002B58EC"/>
    <w:rsid w:val="00313615"/>
    <w:rsid w:val="003C6A9B"/>
    <w:rsid w:val="00424777"/>
    <w:rsid w:val="005174C5"/>
    <w:rsid w:val="0071765E"/>
    <w:rsid w:val="00C33D06"/>
    <w:rsid w:val="00E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8" w:right="48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8" w:right="48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Roman</cp:lastModifiedBy>
  <cp:revision>8</cp:revision>
  <dcterms:created xsi:type="dcterms:W3CDTF">2026-01-27T10:47:00Z</dcterms:created>
  <dcterms:modified xsi:type="dcterms:W3CDTF">2026-01-27T18:27:00Z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2025-01-29T00:00:00Z</vt:filetime>
  </property>
</Properties>
</file>